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196FCA">
        <w:rPr>
          <w:rFonts w:ascii="Arial Black" w:hAnsi="Arial Black" w:cs="Arial"/>
          <w:sz w:val="24"/>
        </w:rPr>
        <w:t>June 21</w:t>
      </w:r>
      <w:r>
        <w:rPr>
          <w:rFonts w:ascii="Arial Black" w:hAnsi="Arial Black" w:cs="Arial"/>
          <w:sz w:val="24"/>
        </w:rPr>
        <w:t>, 2012</w:t>
      </w:r>
    </w:p>
    <w:p w:rsidR="009F58F9" w:rsidRPr="00A3476C" w:rsidRDefault="004201B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</w:t>
      </w:r>
      <w:r w:rsidR="003651D4">
        <w:rPr>
          <w:rFonts w:ascii="Arial" w:hAnsi="Arial" w:cs="Arial"/>
          <w:sz w:val="24"/>
        </w:rPr>
        <w:t xml:space="preserve"> a.m. – 8:</w:t>
      </w:r>
      <w:r>
        <w:rPr>
          <w:rFonts w:ascii="Arial" w:hAnsi="Arial" w:cs="Arial"/>
          <w:sz w:val="24"/>
        </w:rPr>
        <w:t>55</w:t>
      </w:r>
      <w:r w:rsidR="003651D4">
        <w:rPr>
          <w:rFonts w:ascii="Arial" w:hAnsi="Arial" w:cs="Arial"/>
          <w:sz w:val="24"/>
        </w:rPr>
        <w:t xml:space="preserve"> a.m.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5A2E7F" w:rsidRPr="009F58F9" w:rsidTr="005A2E7F">
        <w:trPr>
          <w:trHeight w:val="245"/>
        </w:trPr>
        <w:tc>
          <w:tcPr>
            <w:tcW w:w="1555" w:type="dxa"/>
          </w:tcPr>
          <w:p w:rsidR="005A2E7F" w:rsidRPr="009F58F9" w:rsidRDefault="005A2E7F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A2E7F" w:rsidRPr="009F58F9" w:rsidRDefault="005A2E7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A2E7F" w:rsidRPr="009F58F9" w:rsidRDefault="005A2E7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5A2E7F" w:rsidRPr="009F58F9" w:rsidRDefault="005A2E7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A2E7F" w:rsidRPr="009F58F9" w:rsidTr="005A2E7F">
        <w:trPr>
          <w:trHeight w:val="533"/>
        </w:trPr>
        <w:tc>
          <w:tcPr>
            <w:tcW w:w="1555" w:type="dxa"/>
          </w:tcPr>
          <w:p w:rsidR="005A2E7F" w:rsidRPr="009F58F9" w:rsidRDefault="005A2E7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A2E7F" w:rsidRPr="009F58F9" w:rsidRDefault="00CB2D23">
            <w:pPr>
              <w:rPr>
                <w:rFonts w:ascii="Arial" w:hAnsi="Arial" w:cs="Arial"/>
                <w:sz w:val="24"/>
              </w:rPr>
            </w:pPr>
            <w:r w:rsidRPr="00CB2D23"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5A2E7F" w:rsidRPr="005A2E7F" w:rsidRDefault="00CB2D23" w:rsidP="00196FC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5A2E7F" w:rsidRPr="00CB2D23">
                <w:rPr>
                  <w:rStyle w:val="Hyperlink"/>
                  <w:rFonts w:ascii="Arial" w:hAnsi="Arial" w:cs="Arial"/>
                  <w:sz w:val="24"/>
                </w:rPr>
                <w:t>Consideration of Open Minutes of March 8, 2012, Meeting</w:t>
              </w:r>
            </w:hyperlink>
          </w:p>
          <w:p w:rsidR="005A2E7F" w:rsidRPr="009F58F9" w:rsidRDefault="005A2E7F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5A2E7F" w:rsidRPr="009F58F9" w:rsidTr="005A2E7F">
        <w:trPr>
          <w:trHeight w:val="236"/>
        </w:trPr>
        <w:tc>
          <w:tcPr>
            <w:tcW w:w="1555" w:type="dxa"/>
          </w:tcPr>
          <w:p w:rsidR="005A2E7F" w:rsidRPr="009F58F9" w:rsidRDefault="005A2E7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A2E7F" w:rsidRPr="009F58F9" w:rsidRDefault="005A2E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5A2E7F" w:rsidRDefault="00CB2D2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5A2E7F" w:rsidRPr="00CB2D23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  <w:r w:rsidR="005A2E7F">
              <w:rPr>
                <w:rFonts w:ascii="Arial" w:hAnsi="Arial" w:cs="Arial"/>
                <w:sz w:val="24"/>
              </w:rPr>
              <w:br/>
            </w:r>
          </w:p>
        </w:tc>
      </w:tr>
      <w:tr w:rsidR="005A2E7F" w:rsidRPr="009F58F9" w:rsidTr="005A2E7F">
        <w:trPr>
          <w:trHeight w:val="236"/>
        </w:trPr>
        <w:tc>
          <w:tcPr>
            <w:tcW w:w="1555" w:type="dxa"/>
          </w:tcPr>
          <w:p w:rsidR="005A2E7F" w:rsidRPr="009F58F9" w:rsidRDefault="005A2E7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A2E7F" w:rsidRPr="009F58F9" w:rsidRDefault="005A2E7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A2E7F" w:rsidRPr="009F58F9" w:rsidRDefault="005A2E7F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 Update</w:t>
            </w:r>
          </w:p>
          <w:p w:rsidR="005A2E7F" w:rsidRDefault="005A2E7F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Procurement Update</w:t>
            </w:r>
          </w:p>
          <w:p w:rsidR="005A2E7F" w:rsidRDefault="005A2E7F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  <w:p w:rsidR="005A2E7F" w:rsidRPr="002D0D7A" w:rsidRDefault="005A2E7F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5A2E7F" w:rsidRPr="009F58F9" w:rsidTr="005A2E7F">
        <w:trPr>
          <w:trHeight w:val="605"/>
        </w:trPr>
        <w:tc>
          <w:tcPr>
            <w:tcW w:w="1555" w:type="dxa"/>
          </w:tcPr>
          <w:p w:rsidR="005A2E7F" w:rsidRPr="009F58F9" w:rsidRDefault="005A2E7F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5A2E7F" w:rsidRPr="009F58F9" w:rsidRDefault="005A2E7F">
            <w:pPr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5A2E7F" w:rsidRPr="009F58F9" w:rsidRDefault="005A2E7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Adjournment</w:t>
            </w:r>
          </w:p>
          <w:p w:rsidR="005A2E7F" w:rsidRPr="009F58F9" w:rsidRDefault="005A2E7F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>
      <w:pPr>
        <w:rPr>
          <w:rFonts w:ascii="Arial" w:hAnsi="Arial" w:cs="Arial"/>
        </w:rPr>
      </w:pPr>
    </w:p>
    <w:p w:rsidR="00C36BE3" w:rsidRPr="00FA00BB" w:rsidRDefault="00C36BE3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EE4069">
      <w:footerReference w:type="default" r:id="rId11"/>
      <w:footerReference w:type="first" r:id="rId12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4201B1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2009C"/>
    <w:rsid w:val="000800FE"/>
    <w:rsid w:val="000E66D2"/>
    <w:rsid w:val="001105A2"/>
    <w:rsid w:val="0013029A"/>
    <w:rsid w:val="00157B72"/>
    <w:rsid w:val="00177960"/>
    <w:rsid w:val="00185CD0"/>
    <w:rsid w:val="00196FCA"/>
    <w:rsid w:val="001B0491"/>
    <w:rsid w:val="001C187D"/>
    <w:rsid w:val="001E267D"/>
    <w:rsid w:val="00215FB1"/>
    <w:rsid w:val="002208B9"/>
    <w:rsid w:val="0023182A"/>
    <w:rsid w:val="00256543"/>
    <w:rsid w:val="0028382F"/>
    <w:rsid w:val="002853D9"/>
    <w:rsid w:val="00294E6E"/>
    <w:rsid w:val="002C12A6"/>
    <w:rsid w:val="002C1B36"/>
    <w:rsid w:val="002D0D7A"/>
    <w:rsid w:val="002F2ED5"/>
    <w:rsid w:val="00314274"/>
    <w:rsid w:val="00350FBF"/>
    <w:rsid w:val="00364BE6"/>
    <w:rsid w:val="003651D4"/>
    <w:rsid w:val="00380942"/>
    <w:rsid w:val="003B50B5"/>
    <w:rsid w:val="003C7AAD"/>
    <w:rsid w:val="0040105A"/>
    <w:rsid w:val="004201B1"/>
    <w:rsid w:val="00443DCB"/>
    <w:rsid w:val="00466E5A"/>
    <w:rsid w:val="00472C33"/>
    <w:rsid w:val="004B493F"/>
    <w:rsid w:val="004D3F61"/>
    <w:rsid w:val="004D5AE2"/>
    <w:rsid w:val="004F46C8"/>
    <w:rsid w:val="0050373B"/>
    <w:rsid w:val="0051194A"/>
    <w:rsid w:val="00513EFE"/>
    <w:rsid w:val="00544ADA"/>
    <w:rsid w:val="00591426"/>
    <w:rsid w:val="005A02AA"/>
    <w:rsid w:val="005A2E7F"/>
    <w:rsid w:val="005D7A5F"/>
    <w:rsid w:val="005F3D51"/>
    <w:rsid w:val="00643D3B"/>
    <w:rsid w:val="006C55F5"/>
    <w:rsid w:val="006D30DA"/>
    <w:rsid w:val="006D568E"/>
    <w:rsid w:val="00701A6C"/>
    <w:rsid w:val="00704B6F"/>
    <w:rsid w:val="0073327B"/>
    <w:rsid w:val="00770524"/>
    <w:rsid w:val="007C645B"/>
    <w:rsid w:val="007E1971"/>
    <w:rsid w:val="00803911"/>
    <w:rsid w:val="00822F8C"/>
    <w:rsid w:val="00875BEE"/>
    <w:rsid w:val="008A4AF9"/>
    <w:rsid w:val="008B68F1"/>
    <w:rsid w:val="008D57EF"/>
    <w:rsid w:val="008F5D62"/>
    <w:rsid w:val="0094618E"/>
    <w:rsid w:val="00953D15"/>
    <w:rsid w:val="009C76F8"/>
    <w:rsid w:val="009E019F"/>
    <w:rsid w:val="009F0330"/>
    <w:rsid w:val="009F58F9"/>
    <w:rsid w:val="009F5F46"/>
    <w:rsid w:val="00A3476C"/>
    <w:rsid w:val="00A449E2"/>
    <w:rsid w:val="00A502B0"/>
    <w:rsid w:val="00A86A74"/>
    <w:rsid w:val="00AD5E7D"/>
    <w:rsid w:val="00B027F0"/>
    <w:rsid w:val="00B1229F"/>
    <w:rsid w:val="00B36AB0"/>
    <w:rsid w:val="00BC0EF3"/>
    <w:rsid w:val="00BD352C"/>
    <w:rsid w:val="00C34B65"/>
    <w:rsid w:val="00C36BE3"/>
    <w:rsid w:val="00CB2D23"/>
    <w:rsid w:val="00CB7B04"/>
    <w:rsid w:val="00CD440E"/>
    <w:rsid w:val="00CF3740"/>
    <w:rsid w:val="00D268A5"/>
    <w:rsid w:val="00D52487"/>
    <w:rsid w:val="00D56C0C"/>
    <w:rsid w:val="00D868B9"/>
    <w:rsid w:val="00DC2B7D"/>
    <w:rsid w:val="00DD0053"/>
    <w:rsid w:val="00DE0009"/>
    <w:rsid w:val="00DF530E"/>
    <w:rsid w:val="00DF6DA8"/>
    <w:rsid w:val="00E1491C"/>
    <w:rsid w:val="00E36CE6"/>
    <w:rsid w:val="00E7243F"/>
    <w:rsid w:val="00ED149A"/>
    <w:rsid w:val="00EE4069"/>
    <w:rsid w:val="00EF445D"/>
    <w:rsid w:val="00F10238"/>
    <w:rsid w:val="00F31502"/>
    <w:rsid w:val="00F46388"/>
    <w:rsid w:val="00F47B65"/>
    <w:rsid w:val="00F55328"/>
    <w:rsid w:val="00F94EE4"/>
    <w:rsid w:val="00FA00BB"/>
    <w:rsid w:val="00FB5E92"/>
    <w:rsid w:val="00FC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2/etf06212012/budget/item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06212012/budget/item-1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87</Words>
  <Characters>660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3</cp:revision>
  <cp:lastPrinted>2012-06-05T19:55:00Z</cp:lastPrinted>
  <dcterms:created xsi:type="dcterms:W3CDTF">2012-06-05T21:07:00Z</dcterms:created>
  <dcterms:modified xsi:type="dcterms:W3CDTF">2012-06-12T19:42:00Z</dcterms:modified>
</cp:coreProperties>
</file>