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30484" w14:textId="052994B0"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14:paraId="4040E397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1467F512" w14:textId="77777777"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1C6E4DF7" wp14:editId="4EB1C2CA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733173E6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4B383FE1" w14:textId="77777777" w:rsidR="005D7A5F" w:rsidRPr="00DF6DA8" w:rsidRDefault="005D7A5F" w:rsidP="005D7A5F">
      <w:pPr>
        <w:rPr>
          <w:rFonts w:cs="Arial"/>
          <w:b/>
        </w:rPr>
      </w:pPr>
    </w:p>
    <w:p w14:paraId="47F7885C" w14:textId="79C11E9F" w:rsidR="00215FB1" w:rsidRPr="00770524" w:rsidRDefault="00203647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F23515">
        <w:rPr>
          <w:rFonts w:ascii="Arial Black" w:hAnsi="Arial Black" w:cs="Arial"/>
        </w:rPr>
        <w:t xml:space="preserve">, </w:t>
      </w:r>
      <w:r w:rsidR="00FE7F4F">
        <w:rPr>
          <w:rFonts w:ascii="Arial Black" w:hAnsi="Arial Black" w:cs="Arial"/>
        </w:rPr>
        <w:t>November 1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B00124">
        <w:rPr>
          <w:rFonts w:ascii="Arial Black" w:hAnsi="Arial Black" w:cs="Arial"/>
        </w:rPr>
        <w:t>6</w:t>
      </w:r>
    </w:p>
    <w:p w14:paraId="7E37014B" w14:textId="43664F28"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3C3A31">
        <w:rPr>
          <w:rFonts w:cs="Arial"/>
        </w:rPr>
        <w:t>:0</w:t>
      </w:r>
      <w:r w:rsidR="00B00124">
        <w:rPr>
          <w:rFonts w:cs="Arial"/>
        </w:rPr>
        <w:t>0</w:t>
      </w:r>
      <w:r w:rsidR="00F23515">
        <w:rPr>
          <w:rFonts w:cs="Arial"/>
        </w:rPr>
        <w:t xml:space="preserve"> p.m. – </w:t>
      </w:r>
      <w:r w:rsidR="00730E41">
        <w:rPr>
          <w:rFonts w:cs="Arial"/>
        </w:rPr>
        <w:t>3</w:t>
      </w:r>
      <w:r w:rsidR="0036223D">
        <w:rPr>
          <w:rFonts w:cs="Arial"/>
        </w:rPr>
        <w:t>:</w:t>
      </w:r>
      <w:r w:rsidR="00AC2452">
        <w:rPr>
          <w:rFonts w:cs="Arial"/>
        </w:rPr>
        <w:t>15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14:paraId="1F398C37" w14:textId="77777777" w:rsidR="00215FB1" w:rsidRPr="00A3476C" w:rsidRDefault="00215FB1" w:rsidP="005D7A5F">
      <w:pPr>
        <w:rPr>
          <w:rFonts w:cs="Arial"/>
        </w:rPr>
      </w:pPr>
    </w:p>
    <w:p w14:paraId="7DC4D818" w14:textId="4A35F944" w:rsidR="001F0AA2" w:rsidRPr="00E10FD5" w:rsidRDefault="005A479D" w:rsidP="001F0AA2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 – Events Room</w:t>
      </w:r>
    </w:p>
    <w:p w14:paraId="03A300D1" w14:textId="1E9FCA30" w:rsidR="0023182A" w:rsidRDefault="005A479D" w:rsidP="001F0AA2">
      <w:pPr>
        <w:rPr>
          <w:rFonts w:cs="Arial"/>
        </w:rPr>
      </w:pPr>
      <w:r>
        <w:rPr>
          <w:rFonts w:cs="Arial"/>
        </w:rPr>
        <w:t xml:space="preserve">2135 </w:t>
      </w:r>
      <w:proofErr w:type="spellStart"/>
      <w:r>
        <w:rPr>
          <w:rFonts w:cs="Arial"/>
        </w:rPr>
        <w:t>Rimrock</w:t>
      </w:r>
      <w:proofErr w:type="spellEnd"/>
      <w:r>
        <w:rPr>
          <w:rFonts w:cs="Arial"/>
        </w:rPr>
        <w:t xml:space="preserve"> Road</w:t>
      </w:r>
      <w:r w:rsidR="00B57235">
        <w:rPr>
          <w:rFonts w:cs="Arial"/>
        </w:rPr>
        <w:t>, Madison, WI  53713</w:t>
      </w:r>
    </w:p>
    <w:p w14:paraId="1F62FB37" w14:textId="77777777" w:rsidR="00481432" w:rsidRDefault="00481432" w:rsidP="001F0AA2">
      <w:pPr>
        <w:rPr>
          <w:rFonts w:cs="Arial"/>
        </w:rPr>
      </w:pPr>
    </w:p>
    <w:tbl>
      <w:tblPr>
        <w:tblW w:w="1044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270"/>
        <w:gridCol w:w="5105"/>
        <w:gridCol w:w="2610"/>
      </w:tblGrid>
      <w:tr w:rsidR="0083344B" w:rsidRPr="00D55842" w14:paraId="20550933" w14:textId="77777777" w:rsidTr="00CE201C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14:paraId="334C23AE" w14:textId="77777777" w:rsidR="0083344B" w:rsidRPr="000B3EFE" w:rsidRDefault="0083344B" w:rsidP="00D25D33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14:paraId="0B01949E" w14:textId="77777777"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14:paraId="56AF3309" w14:textId="77777777"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1A45BE9B" w14:textId="77777777" w:rsidR="0083344B" w:rsidRPr="0083344B" w:rsidRDefault="0083344B" w:rsidP="0083344B">
            <w:pPr>
              <w:rPr>
                <w:rFonts w:cs="Arial"/>
              </w:rPr>
            </w:pPr>
          </w:p>
          <w:p w14:paraId="00AE0E17" w14:textId="77777777"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5105" w:type="dxa"/>
            <w:tcBorders>
              <w:top w:val="nil"/>
            </w:tcBorders>
            <w:vAlign w:val="center"/>
          </w:tcPr>
          <w:p w14:paraId="305F2A4D" w14:textId="77777777"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4DE68A50" w14:textId="77777777" w:rsidR="0083344B" w:rsidRPr="00D55842" w:rsidRDefault="0083344B" w:rsidP="00D25D33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14:paraId="763483B9" w14:textId="77777777" w:rsidTr="00CE201C">
        <w:trPr>
          <w:cantSplit/>
          <w:trHeight w:val="425"/>
        </w:trPr>
        <w:tc>
          <w:tcPr>
            <w:tcW w:w="1465" w:type="dxa"/>
          </w:tcPr>
          <w:p w14:paraId="794EBB7F" w14:textId="0A6B8FFE" w:rsidR="0083344B" w:rsidRPr="00DF6DA8" w:rsidRDefault="007A6A76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B00124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p.m.</w:t>
            </w:r>
            <w:r w:rsidR="0083344B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14:paraId="5C7BEC6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928E93D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7B4AB495" w14:textId="336454A1" w:rsidR="0083344B" w:rsidRPr="00DF6DA8" w:rsidRDefault="0083344B" w:rsidP="003A3043">
            <w:pPr>
              <w:pStyle w:val="Heading2"/>
              <w:ind w:left="-50"/>
            </w:pPr>
            <w:r w:rsidRPr="00DF6DA8">
              <w:rPr>
                <w:rFonts w:cs="Arial"/>
                <w:sz w:val="24"/>
              </w:rPr>
              <w:t>Call to Order</w:t>
            </w:r>
            <w:r w:rsidR="00B0012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610" w:type="dxa"/>
          </w:tcPr>
          <w:p w14:paraId="7BFEBA0D" w14:textId="77777777"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14:paraId="3EF565F0" w14:textId="77777777" w:rsidTr="003C026A">
        <w:trPr>
          <w:cantSplit/>
          <w:trHeight w:val="713"/>
        </w:trPr>
        <w:tc>
          <w:tcPr>
            <w:tcW w:w="1465" w:type="dxa"/>
          </w:tcPr>
          <w:p w14:paraId="57AE4BEA" w14:textId="4F30B9CB" w:rsidR="0083344B" w:rsidRDefault="007A6A76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B00124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54A325A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1E842C0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16557361" w14:textId="77777777" w:rsidR="0083344B" w:rsidRDefault="0083344B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14:paraId="16A63AF2" w14:textId="3FA18018" w:rsidR="00353217" w:rsidRDefault="004970BA" w:rsidP="00353217">
            <w:pPr>
              <w:pStyle w:val="ListParagraph"/>
              <w:numPr>
                <w:ilvl w:val="0"/>
                <w:numId w:val="35"/>
              </w:numPr>
            </w:pPr>
            <w:hyperlink r:id="rId9" w:history="1">
              <w:r w:rsidR="00353217" w:rsidRPr="004970BA">
                <w:rPr>
                  <w:rStyle w:val="Hyperlink"/>
                </w:rPr>
                <w:t>2017 Board Meeting Dates</w:t>
              </w:r>
            </w:hyperlink>
          </w:p>
          <w:p w14:paraId="613AE73D" w14:textId="121D9BFE" w:rsidR="00170F47" w:rsidRPr="00353217" w:rsidRDefault="005D1E7C" w:rsidP="00353217">
            <w:pPr>
              <w:pStyle w:val="ListParagraph"/>
              <w:numPr>
                <w:ilvl w:val="0"/>
                <w:numId w:val="35"/>
              </w:numPr>
            </w:pPr>
            <w:r>
              <w:t>Board Member Changes</w:t>
            </w:r>
          </w:p>
          <w:p w14:paraId="6738097B" w14:textId="77777777" w:rsidR="00672E65" w:rsidRPr="00A02CC8" w:rsidRDefault="00672E65" w:rsidP="0020364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BD0AB31" w14:textId="77777777" w:rsidR="0083344B" w:rsidRDefault="0083344B" w:rsidP="00114422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14:paraId="3F446C24" w14:textId="3FE19A69" w:rsidR="00F31F20" w:rsidRDefault="00F31F20" w:rsidP="00114422">
            <w:pPr>
              <w:rPr>
                <w:rFonts w:cs="Arial"/>
              </w:rPr>
            </w:pPr>
          </w:p>
        </w:tc>
      </w:tr>
      <w:tr w:rsidR="006174E1" w:rsidRPr="00DF6DA8" w14:paraId="336F2565" w14:textId="77777777" w:rsidTr="003C026A">
        <w:trPr>
          <w:cantSplit/>
          <w:trHeight w:val="713"/>
        </w:trPr>
        <w:tc>
          <w:tcPr>
            <w:tcW w:w="1465" w:type="dxa"/>
          </w:tcPr>
          <w:p w14:paraId="67547F41" w14:textId="124605CC" w:rsidR="006174E1" w:rsidRDefault="007A6A76" w:rsidP="008554E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</w:t>
            </w:r>
            <w:r w:rsidR="008554EA">
              <w:rPr>
                <w:rFonts w:cs="Arial"/>
                <w:sz w:val="24"/>
              </w:rPr>
              <w:t>5</w:t>
            </w:r>
            <w:r w:rsidR="006174E1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FA2BD00" w14:textId="77777777" w:rsidR="006174E1" w:rsidRPr="005653C9" w:rsidRDefault="006174E1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48A92DB" wp14:editId="23309C60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139816B" w14:textId="77777777" w:rsidR="006174E1" w:rsidRPr="00DF6DA8" w:rsidRDefault="006174E1" w:rsidP="0005687B">
            <w:pPr>
              <w:jc w:val="center"/>
              <w:rPr>
                <w:rFonts w:cs="Arial"/>
              </w:rPr>
            </w:pPr>
          </w:p>
        </w:tc>
        <w:tc>
          <w:tcPr>
            <w:tcW w:w="7715" w:type="dxa"/>
            <w:gridSpan w:val="2"/>
          </w:tcPr>
          <w:p w14:paraId="77592F0E" w14:textId="0D17656F" w:rsidR="006174E1" w:rsidRPr="003C026A" w:rsidRDefault="004970BA" w:rsidP="003C026A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</w:rPr>
            </w:pPr>
            <w:hyperlink r:id="rId11" w:history="1">
              <w:r w:rsidR="006174E1" w:rsidRPr="004970BA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A66229" w:rsidRPr="004970BA">
                <w:rPr>
                  <w:rStyle w:val="Hyperlink"/>
                  <w:rFonts w:cs="Arial"/>
                  <w:sz w:val="24"/>
                </w:rPr>
                <w:t xml:space="preserve">Open Minutes of </w:t>
              </w:r>
              <w:r w:rsidR="004E1DF1" w:rsidRPr="004970BA">
                <w:rPr>
                  <w:rStyle w:val="Hyperlink"/>
                  <w:rFonts w:cs="Arial"/>
                  <w:sz w:val="24"/>
                </w:rPr>
                <w:t>June 14</w:t>
              </w:r>
              <w:r w:rsidR="00A66229" w:rsidRPr="004970BA">
                <w:rPr>
                  <w:rStyle w:val="Hyperlink"/>
                  <w:rFonts w:cs="Arial"/>
                  <w:sz w:val="24"/>
                </w:rPr>
                <w:t>, 2016 Board Meeting</w:t>
              </w:r>
            </w:hyperlink>
          </w:p>
        </w:tc>
      </w:tr>
      <w:tr w:rsidR="00353217" w:rsidRPr="00DF6DA8" w14:paraId="29FA6437" w14:textId="77777777" w:rsidTr="00CE201C">
        <w:trPr>
          <w:cantSplit/>
          <w:trHeight w:val="731"/>
        </w:trPr>
        <w:tc>
          <w:tcPr>
            <w:tcW w:w="1465" w:type="dxa"/>
          </w:tcPr>
          <w:p w14:paraId="6BB08713" w14:textId="1A877FED" w:rsidR="00353217" w:rsidRDefault="00C85C96" w:rsidP="002971B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1:10 p.m.</w:t>
            </w:r>
          </w:p>
        </w:tc>
        <w:tc>
          <w:tcPr>
            <w:tcW w:w="990" w:type="dxa"/>
          </w:tcPr>
          <w:p w14:paraId="6E3AC24F" w14:textId="77777777" w:rsidR="00353217" w:rsidRPr="005653C9" w:rsidRDefault="00353217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5F3D4BCE" w14:textId="77777777" w:rsidR="00353217" w:rsidRPr="005653C9" w:rsidRDefault="00353217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4D920875" w14:textId="2C198C13" w:rsidR="00CE201C" w:rsidRPr="003C026A" w:rsidRDefault="004970BA" w:rsidP="003C026A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2" w:history="1">
              <w:r w:rsidR="00353217" w:rsidRPr="004970BA">
                <w:rPr>
                  <w:rStyle w:val="Hyperlink"/>
                  <w:rFonts w:cs="Arial"/>
                  <w:sz w:val="24"/>
                </w:rPr>
                <w:t>Deferred Compensation Investment Committee Meeting Update</w:t>
              </w:r>
            </w:hyperlink>
          </w:p>
        </w:tc>
        <w:tc>
          <w:tcPr>
            <w:tcW w:w="2610" w:type="dxa"/>
          </w:tcPr>
          <w:p w14:paraId="765B5C8C" w14:textId="6BB84119" w:rsidR="00353217" w:rsidRDefault="00353217" w:rsidP="00DF3924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</w:tc>
      </w:tr>
      <w:tr w:rsidR="002B19EE" w:rsidRPr="00DF6DA8" w14:paraId="5F4C629A" w14:textId="77777777" w:rsidTr="00CE201C">
        <w:trPr>
          <w:cantSplit/>
          <w:trHeight w:val="731"/>
        </w:trPr>
        <w:tc>
          <w:tcPr>
            <w:tcW w:w="1465" w:type="dxa"/>
          </w:tcPr>
          <w:p w14:paraId="44DAD264" w14:textId="44B6CB64" w:rsidR="002B19EE" w:rsidRDefault="005D62FD" w:rsidP="00C85C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</w:t>
            </w:r>
            <w:r w:rsidR="00C85C96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19C616BB" w14:textId="30079FB4" w:rsidR="002B19EE" w:rsidRPr="005653C9" w:rsidRDefault="00C61AA3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F868B24" wp14:editId="5794BA3F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F62B396" w14:textId="77777777" w:rsidR="002B19EE" w:rsidRPr="005653C9" w:rsidRDefault="002B19E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68906F69" w14:textId="687193E9" w:rsidR="002B19EE" w:rsidRPr="003C026A" w:rsidRDefault="004970BA" w:rsidP="003C026A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3" w:history="1">
              <w:r w:rsidR="005D62FD" w:rsidRPr="004970BA">
                <w:rPr>
                  <w:rStyle w:val="Hyperlink"/>
                  <w:rFonts w:cs="Arial"/>
                  <w:sz w:val="24"/>
                </w:rPr>
                <w:t>2015 Financial Statements Audit Report</w:t>
              </w:r>
            </w:hyperlink>
          </w:p>
        </w:tc>
        <w:tc>
          <w:tcPr>
            <w:tcW w:w="2610" w:type="dxa"/>
          </w:tcPr>
          <w:p w14:paraId="41BBDE4F" w14:textId="5B7F671A" w:rsidR="002B19EE" w:rsidRDefault="00E055E4" w:rsidP="00AC2452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AC2452">
              <w:rPr>
                <w:rFonts w:cs="Arial"/>
              </w:rPr>
              <w:t>ill Coleman, Coleman &amp; Williams</w:t>
            </w:r>
          </w:p>
        </w:tc>
      </w:tr>
      <w:tr w:rsidR="00CE201C" w:rsidRPr="00DF6DA8" w14:paraId="7C61B9E0" w14:textId="77777777" w:rsidTr="00CE201C">
        <w:trPr>
          <w:cantSplit/>
          <w:trHeight w:val="646"/>
        </w:trPr>
        <w:tc>
          <w:tcPr>
            <w:tcW w:w="1465" w:type="dxa"/>
          </w:tcPr>
          <w:p w14:paraId="2E1C892D" w14:textId="69428B7E" w:rsidR="00CE201C" w:rsidRDefault="00C85C96" w:rsidP="00C85C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1:30 p.m.</w:t>
            </w:r>
          </w:p>
        </w:tc>
        <w:tc>
          <w:tcPr>
            <w:tcW w:w="990" w:type="dxa"/>
          </w:tcPr>
          <w:p w14:paraId="17C74776" w14:textId="77777777" w:rsidR="00CE201C" w:rsidRPr="005653C9" w:rsidRDefault="00CE201C" w:rsidP="0043412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530D319D" w14:textId="77777777" w:rsidR="00CE201C" w:rsidRPr="005653C9" w:rsidRDefault="00CE201C" w:rsidP="0043412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3C353345" w14:textId="65BF6309" w:rsidR="00CE201C" w:rsidRDefault="00CE201C" w:rsidP="00A72366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Investment Performance </w:t>
            </w:r>
            <w:r w:rsidR="00703348">
              <w:rPr>
                <w:rFonts w:cs="Arial"/>
                <w:sz w:val="24"/>
              </w:rPr>
              <w:t xml:space="preserve">and </w:t>
            </w:r>
            <w:r w:rsidR="00A72366">
              <w:rPr>
                <w:rFonts w:cs="Arial"/>
                <w:sz w:val="24"/>
              </w:rPr>
              <w:t>Expense Ratio</w:t>
            </w:r>
            <w:r w:rsidR="0070334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Review as of </w:t>
            </w:r>
            <w:hyperlink r:id="rId14" w:history="1">
              <w:r w:rsidRPr="004970BA">
                <w:rPr>
                  <w:rStyle w:val="Hyperlink"/>
                  <w:rFonts w:cs="Arial"/>
                  <w:sz w:val="24"/>
                </w:rPr>
                <w:t>June 30, 2016</w:t>
              </w:r>
            </w:hyperlink>
            <w:r>
              <w:rPr>
                <w:rFonts w:cs="Arial"/>
                <w:sz w:val="24"/>
              </w:rPr>
              <w:t xml:space="preserve"> and </w:t>
            </w:r>
            <w:hyperlink r:id="rId15" w:history="1">
              <w:r w:rsidRPr="004970BA">
                <w:rPr>
                  <w:rStyle w:val="Hyperlink"/>
                  <w:rFonts w:cs="Arial"/>
                  <w:sz w:val="24"/>
                </w:rPr>
                <w:t>September 30, 2016</w:t>
              </w:r>
            </w:hyperlink>
          </w:p>
        </w:tc>
        <w:tc>
          <w:tcPr>
            <w:tcW w:w="2610" w:type="dxa"/>
          </w:tcPr>
          <w:p w14:paraId="5FFCB2BC" w14:textId="2CA83809" w:rsidR="00CE201C" w:rsidRDefault="00CE201C" w:rsidP="00AC2452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  <w:r w:rsidR="00AC2452">
              <w:rPr>
                <w:rFonts w:cs="Arial"/>
              </w:rPr>
              <w:t>Great-West Financial</w:t>
            </w:r>
          </w:p>
        </w:tc>
      </w:tr>
      <w:tr w:rsidR="00434121" w:rsidRPr="00DF6DA8" w14:paraId="113FF3EE" w14:textId="77777777" w:rsidTr="00CE201C">
        <w:trPr>
          <w:cantSplit/>
          <w:trHeight w:val="646"/>
        </w:trPr>
        <w:tc>
          <w:tcPr>
            <w:tcW w:w="1465" w:type="dxa"/>
          </w:tcPr>
          <w:p w14:paraId="4C18FA50" w14:textId="120AB8E7" w:rsidR="00434121" w:rsidRDefault="005D62FD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1:50 p.m.</w:t>
            </w:r>
          </w:p>
        </w:tc>
        <w:tc>
          <w:tcPr>
            <w:tcW w:w="990" w:type="dxa"/>
          </w:tcPr>
          <w:p w14:paraId="7547B08B" w14:textId="45BD5B8A" w:rsidR="00434121" w:rsidRPr="005653C9" w:rsidRDefault="005D62FD" w:rsidP="00434121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C6DA476" wp14:editId="654B08D9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A4CAA66" w14:textId="77777777" w:rsidR="00434121" w:rsidRPr="005653C9" w:rsidRDefault="00434121" w:rsidP="0043412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4A31E618" w14:textId="11B23793" w:rsidR="00434121" w:rsidRPr="003C026A" w:rsidRDefault="004970BA" w:rsidP="009574F8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6" w:history="1">
              <w:r w:rsidR="00785CCA" w:rsidRPr="004970BA">
                <w:rPr>
                  <w:rStyle w:val="Hyperlink"/>
                  <w:rFonts w:cs="Arial"/>
                  <w:sz w:val="24"/>
                </w:rPr>
                <w:t>Administrative</w:t>
              </w:r>
              <w:r w:rsidR="00B928D6" w:rsidRPr="004970BA">
                <w:rPr>
                  <w:rStyle w:val="Hyperlink"/>
                  <w:rFonts w:cs="Arial"/>
                  <w:sz w:val="24"/>
                </w:rPr>
                <w:t xml:space="preserve"> Fee</w:t>
              </w:r>
              <w:r w:rsidR="005D62FD" w:rsidRPr="004970BA">
                <w:rPr>
                  <w:rStyle w:val="Hyperlink"/>
                  <w:rFonts w:cs="Arial"/>
                  <w:sz w:val="24"/>
                </w:rPr>
                <w:t xml:space="preserve"> Analysis</w:t>
              </w:r>
            </w:hyperlink>
          </w:p>
        </w:tc>
        <w:tc>
          <w:tcPr>
            <w:tcW w:w="2610" w:type="dxa"/>
          </w:tcPr>
          <w:p w14:paraId="7754F4CA" w14:textId="545068E6" w:rsidR="00CD30DC" w:rsidRDefault="00A72366" w:rsidP="00CD30DC">
            <w:pPr>
              <w:rPr>
                <w:rFonts w:cs="Arial"/>
              </w:rPr>
            </w:pPr>
            <w:r>
              <w:rPr>
                <w:rFonts w:cs="Arial"/>
              </w:rPr>
              <w:t>Cindy Klimke</w:t>
            </w:r>
            <w:r w:rsidR="005D62FD">
              <w:rPr>
                <w:rFonts w:cs="Arial"/>
              </w:rPr>
              <w:t xml:space="preserve"> and Shelly Schueller</w:t>
            </w:r>
          </w:p>
        </w:tc>
      </w:tr>
      <w:tr w:rsidR="00CE201C" w:rsidRPr="00DF6DA8" w14:paraId="2AAD01A6" w14:textId="77777777" w:rsidTr="00CE201C">
        <w:trPr>
          <w:cantSplit/>
          <w:trHeight w:val="551"/>
        </w:trPr>
        <w:tc>
          <w:tcPr>
            <w:tcW w:w="1465" w:type="dxa"/>
          </w:tcPr>
          <w:p w14:paraId="33BE27D0" w14:textId="4AF70DA2" w:rsidR="00CE201C" w:rsidRDefault="00C85C96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2:10 p.m.</w:t>
            </w:r>
          </w:p>
        </w:tc>
        <w:tc>
          <w:tcPr>
            <w:tcW w:w="990" w:type="dxa"/>
          </w:tcPr>
          <w:p w14:paraId="210A17FA" w14:textId="3D6758CD" w:rsidR="00CE201C" w:rsidRPr="00411991" w:rsidRDefault="003C026A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40C68225" wp14:editId="1A7B9ED5">
                  <wp:extent cx="205740" cy="114300"/>
                  <wp:effectExtent l="0" t="0" r="0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B469B41" w14:textId="77777777" w:rsidR="00CE201C" w:rsidRPr="005653C9" w:rsidRDefault="00CE201C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7EBEC063" w14:textId="626F160E" w:rsidR="00CE201C" w:rsidRDefault="004970BA" w:rsidP="003C026A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7" w:history="1">
              <w:r w:rsidR="00CE201C" w:rsidRPr="004970BA">
                <w:rPr>
                  <w:rStyle w:val="Hyperlink"/>
                  <w:rFonts w:cs="Arial"/>
                  <w:sz w:val="24"/>
                </w:rPr>
                <w:t>Large Cap Value Fund Discussion</w:t>
              </w:r>
            </w:hyperlink>
          </w:p>
        </w:tc>
        <w:tc>
          <w:tcPr>
            <w:tcW w:w="2610" w:type="dxa"/>
          </w:tcPr>
          <w:p w14:paraId="76E78382" w14:textId="7BA0AB2A" w:rsidR="00CE201C" w:rsidRDefault="00CE201C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Bill Thornton,</w:t>
            </w:r>
            <w:r w:rsidR="00AC2452">
              <w:rPr>
                <w:rFonts w:cs="Arial"/>
              </w:rPr>
              <w:t xml:space="preserve"> Great-West Financial</w:t>
            </w:r>
            <w:r>
              <w:rPr>
                <w:rFonts w:cs="Arial"/>
              </w:rPr>
              <w:t>; Shelly Schueller</w:t>
            </w:r>
          </w:p>
        </w:tc>
      </w:tr>
      <w:tr w:rsidR="00D02AEB" w:rsidRPr="00DF6DA8" w14:paraId="247541A1" w14:textId="77777777" w:rsidTr="00D02AEB">
        <w:trPr>
          <w:cantSplit/>
          <w:trHeight w:val="731"/>
        </w:trPr>
        <w:tc>
          <w:tcPr>
            <w:tcW w:w="1465" w:type="dxa"/>
          </w:tcPr>
          <w:p w14:paraId="23560B1D" w14:textId="6CFE3593" w:rsidR="00D02AEB" w:rsidRDefault="00D02AEB" w:rsidP="00C85C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2:20 p.m.</w:t>
            </w:r>
          </w:p>
        </w:tc>
        <w:tc>
          <w:tcPr>
            <w:tcW w:w="990" w:type="dxa"/>
          </w:tcPr>
          <w:p w14:paraId="36F5192C" w14:textId="5BE1E22E" w:rsidR="00D02AEB" w:rsidRPr="00411991" w:rsidRDefault="00D02AEB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03AEEB70" wp14:editId="688ACA4D">
                  <wp:extent cx="205740" cy="114300"/>
                  <wp:effectExtent l="0" t="0" r="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73D38B51" w14:textId="77777777" w:rsidR="00D02AEB" w:rsidRPr="005653C9" w:rsidRDefault="00D02AE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15949691" w14:textId="2786415F" w:rsidR="00D02AEB" w:rsidRDefault="004970BA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8" w:history="1">
              <w:r w:rsidR="00D02AEB" w:rsidRPr="004970BA">
                <w:rPr>
                  <w:rStyle w:val="Hyperlink"/>
                  <w:rFonts w:cs="Arial"/>
                  <w:sz w:val="24"/>
                </w:rPr>
                <w:t>Hardship Timeframe Review</w:t>
              </w:r>
            </w:hyperlink>
          </w:p>
        </w:tc>
        <w:tc>
          <w:tcPr>
            <w:tcW w:w="2610" w:type="dxa"/>
          </w:tcPr>
          <w:p w14:paraId="00610123" w14:textId="6A262EE5" w:rsidR="00D02AEB" w:rsidRDefault="00D02AEB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David Nispel and Shelly Schueller</w:t>
            </w:r>
          </w:p>
        </w:tc>
      </w:tr>
      <w:tr w:rsidR="00353217" w:rsidRPr="00DF6DA8" w14:paraId="22D21705" w14:textId="77777777" w:rsidTr="003C026A">
        <w:trPr>
          <w:cantSplit/>
          <w:trHeight w:val="1010"/>
        </w:trPr>
        <w:tc>
          <w:tcPr>
            <w:tcW w:w="1465" w:type="dxa"/>
          </w:tcPr>
          <w:p w14:paraId="797F9F46" w14:textId="551DA2E2" w:rsidR="00353217" w:rsidRDefault="00D02AE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2:30</w:t>
            </w:r>
            <w:r w:rsidR="00C85C9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300E3C23" w14:textId="60E81171" w:rsidR="00353217" w:rsidRPr="005653C9" w:rsidRDefault="00353217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41F20241" wp14:editId="7C4D4828">
                  <wp:extent cx="205740" cy="114300"/>
                  <wp:effectExtent l="0" t="0" r="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D25E05C" w14:textId="77777777" w:rsidR="00353217" w:rsidRPr="005653C9" w:rsidRDefault="00353217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289EBA91" w14:textId="71964932" w:rsidR="00353217" w:rsidRDefault="00DE7DBC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Strategic Partnership Plan</w:t>
            </w:r>
          </w:p>
          <w:p w14:paraId="4C17AD79" w14:textId="76AD62EB" w:rsidR="00353217" w:rsidRDefault="004970BA" w:rsidP="00353217">
            <w:pPr>
              <w:pStyle w:val="ListParagraph"/>
              <w:numPr>
                <w:ilvl w:val="0"/>
                <w:numId w:val="34"/>
              </w:numPr>
            </w:pPr>
            <w:hyperlink r:id="rId19" w:history="1">
              <w:r w:rsidR="00353217" w:rsidRPr="004970BA">
                <w:rPr>
                  <w:rStyle w:val="Hyperlink"/>
                </w:rPr>
                <w:t>2016 Year-to-Date Review</w:t>
              </w:r>
            </w:hyperlink>
          </w:p>
          <w:p w14:paraId="211CF481" w14:textId="1D9455C2" w:rsidR="00353217" w:rsidRPr="00353217" w:rsidRDefault="004970BA" w:rsidP="00353217">
            <w:pPr>
              <w:pStyle w:val="ListParagraph"/>
              <w:numPr>
                <w:ilvl w:val="0"/>
                <w:numId w:val="34"/>
              </w:numPr>
            </w:pPr>
            <w:hyperlink r:id="rId20" w:history="1">
              <w:r w:rsidR="00DE7DBC" w:rsidRPr="004970BA">
                <w:rPr>
                  <w:rStyle w:val="Hyperlink"/>
                </w:rPr>
                <w:t>Proposed 2017 SPP</w:t>
              </w:r>
            </w:hyperlink>
          </w:p>
        </w:tc>
        <w:tc>
          <w:tcPr>
            <w:tcW w:w="2610" w:type="dxa"/>
          </w:tcPr>
          <w:p w14:paraId="6EDCAC7D" w14:textId="12AE0090" w:rsidR="00353217" w:rsidRPr="005F04A6" w:rsidRDefault="00353217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Emily Lockwood, Empower Retirement; Shelly Schueller</w:t>
            </w:r>
          </w:p>
        </w:tc>
      </w:tr>
      <w:tr w:rsidR="00C85C96" w:rsidRPr="00DF6DA8" w14:paraId="73529C01" w14:textId="77777777" w:rsidTr="00B304C3">
        <w:trPr>
          <w:cantSplit/>
          <w:trHeight w:val="677"/>
        </w:trPr>
        <w:tc>
          <w:tcPr>
            <w:tcW w:w="1465" w:type="dxa"/>
          </w:tcPr>
          <w:p w14:paraId="3C3EC423" w14:textId="01730B36" w:rsidR="00C85C96" w:rsidRDefault="00D02AE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2:45</w:t>
            </w:r>
            <w:r w:rsidR="00C85C9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4EF74A3B" w14:textId="40C165AF" w:rsidR="00C85C96" w:rsidRPr="00411991" w:rsidRDefault="00C85C96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7FE79943" w14:textId="77777777" w:rsidR="00C85C96" w:rsidRPr="005653C9" w:rsidRDefault="00C85C96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72EFABC1" w14:textId="77F771DE" w:rsidR="00C85C96" w:rsidRDefault="00D02AEB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Retirement Readiness Review Demo</w:t>
            </w:r>
            <w:r w:rsidR="00886AB0">
              <w:rPr>
                <w:rFonts w:cs="Arial"/>
                <w:sz w:val="24"/>
              </w:rPr>
              <w:t>nstration</w:t>
            </w:r>
          </w:p>
        </w:tc>
        <w:tc>
          <w:tcPr>
            <w:tcW w:w="2610" w:type="dxa"/>
          </w:tcPr>
          <w:p w14:paraId="6F9CF43C" w14:textId="7E03DDA0" w:rsidR="00C85C96" w:rsidRDefault="00A72366" w:rsidP="00DA34F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Scott </w:t>
            </w:r>
            <w:proofErr w:type="spellStart"/>
            <w:r>
              <w:rPr>
                <w:rFonts w:cs="Arial"/>
              </w:rPr>
              <w:t>Schewe</w:t>
            </w:r>
            <w:proofErr w:type="spellEnd"/>
            <w:r w:rsidR="00D02AEB">
              <w:rPr>
                <w:rFonts w:cs="Arial"/>
              </w:rPr>
              <w:t>, Empower Retirement</w:t>
            </w:r>
          </w:p>
        </w:tc>
      </w:tr>
      <w:tr w:rsidR="00D02AEB" w:rsidRPr="00DF6DA8" w14:paraId="4FDFD123" w14:textId="77777777" w:rsidTr="00AC2452">
        <w:trPr>
          <w:cantSplit/>
          <w:trHeight w:val="704"/>
        </w:trPr>
        <w:tc>
          <w:tcPr>
            <w:tcW w:w="1465" w:type="dxa"/>
          </w:tcPr>
          <w:p w14:paraId="6B29A647" w14:textId="50CAFA07" w:rsidR="00D02AEB" w:rsidRDefault="00D02AE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3:05 p.m.</w:t>
            </w:r>
          </w:p>
        </w:tc>
        <w:tc>
          <w:tcPr>
            <w:tcW w:w="990" w:type="dxa"/>
          </w:tcPr>
          <w:p w14:paraId="37DCEF26" w14:textId="77777777" w:rsidR="00D02AEB" w:rsidRPr="00411991" w:rsidRDefault="00D02AE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31CF5A4D" w14:textId="77777777" w:rsidR="00D02AEB" w:rsidRPr="005653C9" w:rsidRDefault="00D02AE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7AC7F91C" w14:textId="706D8072" w:rsidR="00D02AEB" w:rsidRDefault="004970BA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1" w:history="1">
              <w:r w:rsidR="00D02AEB" w:rsidRPr="004970BA">
                <w:rPr>
                  <w:rStyle w:val="Hyperlink"/>
                  <w:rFonts w:cs="Arial"/>
                  <w:sz w:val="24"/>
                </w:rPr>
                <w:t>Department of Labor Fiduciary Rule</w:t>
              </w:r>
            </w:hyperlink>
          </w:p>
        </w:tc>
        <w:tc>
          <w:tcPr>
            <w:tcW w:w="2610" w:type="dxa"/>
          </w:tcPr>
          <w:p w14:paraId="64ACAFC4" w14:textId="32BB85C5" w:rsidR="00D02AEB" w:rsidRDefault="00D02AEB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Emily Lockwood, Empower Retirement</w:t>
            </w:r>
          </w:p>
        </w:tc>
      </w:tr>
      <w:tr w:rsidR="00F569E5" w:rsidRPr="00DF6DA8" w14:paraId="736814B3" w14:textId="77777777" w:rsidTr="005518C5">
        <w:trPr>
          <w:cantSplit/>
          <w:trHeight w:val="884"/>
        </w:trPr>
        <w:tc>
          <w:tcPr>
            <w:tcW w:w="1465" w:type="dxa"/>
          </w:tcPr>
          <w:p w14:paraId="0030AF3F" w14:textId="28D5DFB3" w:rsidR="00F569E5" w:rsidRDefault="00F569E5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3:10 p.m.</w:t>
            </w:r>
          </w:p>
        </w:tc>
        <w:tc>
          <w:tcPr>
            <w:tcW w:w="990" w:type="dxa"/>
          </w:tcPr>
          <w:p w14:paraId="66BFB99C" w14:textId="77777777" w:rsidR="00F569E5" w:rsidRPr="00411991" w:rsidRDefault="00F569E5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64407894" w14:textId="77777777" w:rsidR="00F569E5" w:rsidRPr="005653C9" w:rsidRDefault="00F569E5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185EA501" w14:textId="277D23C0" w:rsidR="00F569E5" w:rsidRDefault="004970BA" w:rsidP="00C11DE8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2" w:history="1">
              <w:r w:rsidR="00F569E5" w:rsidRPr="004970BA">
                <w:rPr>
                  <w:rStyle w:val="Hyperlink"/>
                  <w:rFonts w:cs="Arial"/>
                  <w:sz w:val="24"/>
                </w:rPr>
                <w:t xml:space="preserve">Information </w:t>
              </w:r>
              <w:r w:rsidR="005518C5" w:rsidRPr="004970BA">
                <w:rPr>
                  <w:rStyle w:val="Hyperlink"/>
                  <w:rFonts w:cs="Arial"/>
                  <w:sz w:val="24"/>
                </w:rPr>
                <w:t>T</w:t>
              </w:r>
              <w:r w:rsidR="00F569E5" w:rsidRPr="004970BA">
                <w:rPr>
                  <w:rStyle w:val="Hyperlink"/>
                  <w:rFonts w:cs="Arial"/>
                  <w:sz w:val="24"/>
                </w:rPr>
                <w:t xml:space="preserve">echnology </w:t>
              </w:r>
              <w:r w:rsidR="00C11DE8" w:rsidRPr="004970BA">
                <w:rPr>
                  <w:rStyle w:val="Hyperlink"/>
                  <w:rFonts w:cs="Arial"/>
                  <w:sz w:val="24"/>
                </w:rPr>
                <w:t>U</w:t>
              </w:r>
              <w:r w:rsidR="00F569E5" w:rsidRPr="004970BA">
                <w:rPr>
                  <w:rStyle w:val="Hyperlink"/>
                  <w:rFonts w:cs="Arial"/>
                  <w:sz w:val="24"/>
                </w:rPr>
                <w:t>p</w:t>
              </w:r>
              <w:r w:rsidR="00C11DE8" w:rsidRPr="004970BA">
                <w:rPr>
                  <w:rStyle w:val="Hyperlink"/>
                  <w:rFonts w:cs="Arial"/>
                  <w:sz w:val="24"/>
                </w:rPr>
                <w:t>date</w:t>
              </w:r>
            </w:hyperlink>
          </w:p>
        </w:tc>
        <w:tc>
          <w:tcPr>
            <w:tcW w:w="2610" w:type="dxa"/>
          </w:tcPr>
          <w:p w14:paraId="3D51962A" w14:textId="77777777" w:rsidR="00F569E5" w:rsidRDefault="00F569E5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Steve Mueller</w:t>
            </w:r>
            <w:r w:rsidR="005518C5">
              <w:rPr>
                <w:rFonts w:cs="Arial"/>
              </w:rPr>
              <w:t>,</w:t>
            </w:r>
          </w:p>
          <w:p w14:paraId="01ECC5AC" w14:textId="12F0F77D" w:rsidR="005518C5" w:rsidRDefault="005518C5" w:rsidP="0035321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Emily Lockwood, Empower Retirement</w:t>
            </w:r>
          </w:p>
        </w:tc>
      </w:tr>
      <w:tr w:rsidR="00FF585B" w:rsidRPr="00DF6DA8" w14:paraId="65943DCE" w14:textId="77777777" w:rsidTr="00CE201C">
        <w:trPr>
          <w:cantSplit/>
          <w:trHeight w:val="2936"/>
        </w:trPr>
        <w:tc>
          <w:tcPr>
            <w:tcW w:w="1465" w:type="dxa"/>
          </w:tcPr>
          <w:p w14:paraId="346F78A1" w14:textId="7DFAA09F" w:rsidR="00FF585B" w:rsidRDefault="00D02AE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E85FFB">
              <w:rPr>
                <w:rFonts w:cs="Arial"/>
                <w:sz w:val="24"/>
              </w:rPr>
              <w:t>:</w:t>
            </w:r>
            <w:r w:rsidR="00F569E5">
              <w:rPr>
                <w:rFonts w:cs="Arial"/>
                <w:sz w:val="24"/>
              </w:rPr>
              <w:t>15</w:t>
            </w:r>
            <w:r w:rsidR="005C1ECC">
              <w:rPr>
                <w:rFonts w:cs="Arial"/>
                <w:sz w:val="24"/>
              </w:rPr>
              <w:t xml:space="preserve"> </w:t>
            </w:r>
            <w:r w:rsidR="00FF585B">
              <w:rPr>
                <w:rFonts w:cs="Arial"/>
                <w:sz w:val="24"/>
              </w:rPr>
              <w:t>p.m.</w:t>
            </w:r>
          </w:p>
        </w:tc>
        <w:tc>
          <w:tcPr>
            <w:tcW w:w="990" w:type="dxa"/>
          </w:tcPr>
          <w:p w14:paraId="337397E0" w14:textId="77777777"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7496289D" w14:textId="77777777"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05" w:type="dxa"/>
          </w:tcPr>
          <w:p w14:paraId="3FA110BD" w14:textId="31F45CFB" w:rsidR="00FF585B" w:rsidRPr="005F04A6" w:rsidRDefault="004970BA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3" w:history="1">
              <w:r w:rsidR="00B733F9" w:rsidRPr="004970BA">
                <w:rPr>
                  <w:rStyle w:val="Hyperlink"/>
                  <w:rFonts w:cs="Arial"/>
                  <w:sz w:val="24"/>
                </w:rPr>
                <w:t xml:space="preserve">Operational </w:t>
              </w:r>
              <w:r w:rsidR="00870E82" w:rsidRPr="004970BA">
                <w:rPr>
                  <w:rStyle w:val="Hyperlink"/>
                  <w:rFonts w:cs="Arial"/>
                  <w:sz w:val="24"/>
                </w:rPr>
                <w:t>and Misc. Items</w:t>
              </w:r>
            </w:hyperlink>
            <w:bookmarkStart w:id="0" w:name="_GoBack"/>
            <w:bookmarkEnd w:id="0"/>
          </w:p>
          <w:p w14:paraId="210BE653" w14:textId="3DBF3D50" w:rsidR="00FF585B" w:rsidRPr="008554EA" w:rsidRDefault="00FF585B" w:rsidP="008554EA">
            <w:pPr>
              <w:ind w:left="400"/>
              <w:rPr>
                <w:rFonts w:cs="Arial"/>
              </w:rPr>
            </w:pPr>
            <w:r w:rsidRPr="008554EA">
              <w:rPr>
                <w:rFonts w:cs="Arial"/>
              </w:rPr>
              <w:t>Cover memo and informational items including, but not limited to:</w:t>
            </w:r>
          </w:p>
          <w:p w14:paraId="0073A870" w14:textId="6EB7033B" w:rsidR="00D02AEB" w:rsidRDefault="00A337BF" w:rsidP="001F248A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D02AEB">
              <w:rPr>
                <w:rFonts w:cs="Arial"/>
              </w:rPr>
              <w:t>Ad</w:t>
            </w:r>
            <w:r w:rsidR="00DA34FD">
              <w:rPr>
                <w:rFonts w:cs="Arial"/>
              </w:rPr>
              <w:t>ministrative Services Agreement Contract Update</w:t>
            </w:r>
          </w:p>
          <w:p w14:paraId="7AF1A673" w14:textId="70AB2ACF" w:rsidR="00B11F46" w:rsidRDefault="00170F47" w:rsidP="001F248A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11F46">
              <w:rPr>
                <w:rFonts w:cs="Arial"/>
              </w:rPr>
              <w:t xml:space="preserve">WDC </w:t>
            </w:r>
            <w:r w:rsidR="002F2F21">
              <w:rPr>
                <w:rFonts w:cs="Arial"/>
              </w:rPr>
              <w:t>Program information</w:t>
            </w:r>
          </w:p>
          <w:p w14:paraId="3837A3A4" w14:textId="1CB27051" w:rsidR="00162099" w:rsidRDefault="00A337BF" w:rsidP="001F248A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62099">
              <w:rPr>
                <w:rFonts w:cs="Arial"/>
              </w:rPr>
              <w:t>EMPOWER campaign news</w:t>
            </w:r>
          </w:p>
          <w:p w14:paraId="25F06E15" w14:textId="77777777" w:rsidR="00FF585B" w:rsidRPr="005F04A6" w:rsidRDefault="00FF585B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14:paraId="13BBEDFA" w14:textId="77777777" w:rsidR="00FF585B" w:rsidRPr="005F04A6" w:rsidRDefault="00FF585B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14:paraId="2BA55B33" w14:textId="77777777" w:rsidR="00FF585B" w:rsidRDefault="00FF585B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14:paraId="38B772AB" w14:textId="1312EFE7" w:rsidR="00FF585B" w:rsidRPr="00EC6EEF" w:rsidRDefault="00FF585B" w:rsidP="00EC6E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</w:tc>
        <w:tc>
          <w:tcPr>
            <w:tcW w:w="2610" w:type="dxa"/>
          </w:tcPr>
          <w:p w14:paraId="70B6DCC4" w14:textId="1A568A08" w:rsidR="00FF585B" w:rsidRPr="005F04A6" w:rsidRDefault="00FF585B" w:rsidP="00FF585B">
            <w:pPr>
              <w:rPr>
                <w:rFonts w:cs="Arial"/>
              </w:rPr>
            </w:pPr>
            <w:r w:rsidRPr="005F04A6">
              <w:rPr>
                <w:rFonts w:cs="Arial"/>
              </w:rPr>
              <w:t>Shelly Schueller</w:t>
            </w:r>
          </w:p>
          <w:p w14:paraId="32403DEB" w14:textId="77777777" w:rsidR="00FF585B" w:rsidRDefault="00FF585B" w:rsidP="00FF585B">
            <w:pPr>
              <w:rPr>
                <w:rFonts w:cs="Arial"/>
              </w:rPr>
            </w:pPr>
          </w:p>
        </w:tc>
      </w:tr>
      <w:tr w:rsidR="00DE7DBC" w14:paraId="54E5E32D" w14:textId="77777777" w:rsidTr="00CE201C">
        <w:trPr>
          <w:cantSplit/>
          <w:trHeight w:val="497"/>
        </w:trPr>
        <w:tc>
          <w:tcPr>
            <w:tcW w:w="1465" w:type="dxa"/>
          </w:tcPr>
          <w:p w14:paraId="13BB095B" w14:textId="2D1F5717" w:rsidR="00DE7DBC" w:rsidRDefault="00D02AE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C85C96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20</w:t>
            </w:r>
            <w:r w:rsidR="00C85C96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0962A97A" w14:textId="77777777" w:rsidR="00DE7DBC" w:rsidRPr="00411991" w:rsidRDefault="00DE7DBC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290C5063" w14:textId="77777777" w:rsidR="00DE7DBC" w:rsidRDefault="00DE7DBC" w:rsidP="00FF585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5874C01A" w14:textId="452328D7" w:rsidR="00DE7DBC" w:rsidRDefault="00DE7DBC" w:rsidP="005A7683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Recognize Outgoing Board Member</w:t>
            </w:r>
          </w:p>
        </w:tc>
        <w:tc>
          <w:tcPr>
            <w:tcW w:w="2610" w:type="dxa"/>
          </w:tcPr>
          <w:p w14:paraId="11FA92FE" w14:textId="77777777" w:rsidR="00DE7DBC" w:rsidRDefault="00DE7DBC" w:rsidP="00FF585B"/>
        </w:tc>
      </w:tr>
      <w:tr w:rsidR="00FF585B" w14:paraId="35843865" w14:textId="77777777" w:rsidTr="00D02AEB">
        <w:trPr>
          <w:cantSplit/>
          <w:trHeight w:val="479"/>
        </w:trPr>
        <w:tc>
          <w:tcPr>
            <w:tcW w:w="1465" w:type="dxa"/>
          </w:tcPr>
          <w:p w14:paraId="0313F516" w14:textId="37CE0723" w:rsidR="00FF585B" w:rsidRDefault="0003771B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D02AEB">
              <w:rPr>
                <w:rFonts w:cs="Arial"/>
                <w:sz w:val="24"/>
              </w:rPr>
              <w:t>25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FADFA07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405D9864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  <w:shd w:val="clear" w:color="auto" w:fill="auto"/>
          </w:tcPr>
          <w:p w14:paraId="1FA884CE" w14:textId="31460A3E" w:rsidR="00C85C96" w:rsidRPr="007B4D87" w:rsidRDefault="00FF585B" w:rsidP="00D02AEB">
            <w:pPr>
              <w:pStyle w:val="Heading2"/>
              <w:numPr>
                <w:ilvl w:val="0"/>
                <w:numId w:val="30"/>
              </w:numPr>
              <w:ind w:left="400" w:hanging="450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610" w:type="dxa"/>
          </w:tcPr>
          <w:p w14:paraId="1EFB9B5E" w14:textId="77777777" w:rsidR="00FF585B" w:rsidRDefault="00FF585B" w:rsidP="00FF585B"/>
        </w:tc>
      </w:tr>
      <w:tr w:rsidR="00FF585B" w14:paraId="5F39B15C" w14:textId="77777777" w:rsidTr="00CE201C">
        <w:trPr>
          <w:cantSplit/>
          <w:trHeight w:val="374"/>
        </w:trPr>
        <w:tc>
          <w:tcPr>
            <w:tcW w:w="1465" w:type="dxa"/>
          </w:tcPr>
          <w:p w14:paraId="2C744CF7" w14:textId="7BE2DA35" w:rsidR="00FF585B" w:rsidRPr="00DF6DA8" w:rsidRDefault="00BF222D" w:rsidP="00D02AE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D02AEB">
              <w:rPr>
                <w:rFonts w:cs="Arial"/>
                <w:sz w:val="24"/>
              </w:rPr>
              <w:t>30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04B96425" w14:textId="77777777" w:rsidR="00FF585B" w:rsidRPr="00411991" w:rsidRDefault="00FF585B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729381AE" wp14:editId="1FE2EB9F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7438CB2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5105" w:type="dxa"/>
          </w:tcPr>
          <w:p w14:paraId="55797DC7" w14:textId="77777777" w:rsidR="00FF585B" w:rsidRPr="007B4D87" w:rsidRDefault="00FF585B" w:rsidP="005A7683">
            <w:pPr>
              <w:pStyle w:val="Heading2"/>
              <w:numPr>
                <w:ilvl w:val="0"/>
                <w:numId w:val="30"/>
              </w:numPr>
              <w:ind w:left="400" w:hanging="450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610" w:type="dxa"/>
          </w:tcPr>
          <w:p w14:paraId="30DB1176" w14:textId="77777777" w:rsidR="00FF585B" w:rsidRDefault="00FF585B" w:rsidP="00FF585B"/>
        </w:tc>
      </w:tr>
    </w:tbl>
    <w:p w14:paraId="4355F9ED" w14:textId="77777777"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14:paraId="49280460" w14:textId="1C36DD3F" w:rsidR="00080DC9" w:rsidRDefault="001327CC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1327CC">
        <w:rPr>
          <w:rFonts w:cs="Arial"/>
          <w:b w:val="0"/>
          <w:i/>
          <w:sz w:val="20"/>
          <w:szCs w:val="20"/>
        </w:rPr>
        <w:t>Please note items may be taken in order other than listed. Unless otherwise noted, the presenters are ETF staff.</w:t>
      </w:r>
    </w:p>
    <w:sectPr w:rsidR="00080DC9" w:rsidSect="006D099A">
      <w:footerReference w:type="default" r:id="rId24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57FD2" w14:textId="77777777" w:rsidR="00D25D33" w:rsidRDefault="00D25D33" w:rsidP="007E1971">
      <w:r>
        <w:separator/>
      </w:r>
    </w:p>
  </w:endnote>
  <w:endnote w:type="continuationSeparator" w:id="0">
    <w:p w14:paraId="07477230" w14:textId="77777777" w:rsidR="00D25D33" w:rsidRDefault="00D25D33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05DE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207113C1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2D0FA17D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4BB31219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2FCA332F" w14:textId="77777777"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7B1A4D57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3B15F672" w14:textId="77777777" w:rsidR="00735B42" w:rsidRPr="007E20D7" w:rsidRDefault="00735B42" w:rsidP="007E1971">
    <w:pPr>
      <w:pStyle w:val="Footer"/>
    </w:pPr>
  </w:p>
  <w:p w14:paraId="549C465C" w14:textId="77777777" w:rsidR="00735B42" w:rsidRDefault="00735B42">
    <w:pPr>
      <w:pStyle w:val="Footer"/>
    </w:pPr>
  </w:p>
  <w:p w14:paraId="0A441430" w14:textId="77777777"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A0F4" w14:textId="77777777" w:rsidR="00D25D33" w:rsidRDefault="00D25D33" w:rsidP="007E1971">
      <w:r>
        <w:separator/>
      </w:r>
    </w:p>
  </w:footnote>
  <w:footnote w:type="continuationSeparator" w:id="0">
    <w:p w14:paraId="36E21065" w14:textId="77777777" w:rsidR="00D25D33" w:rsidRDefault="00D25D33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4pt;height:12pt;visibility:visible" o:bullet="t">
        <v:imagedata r:id="rId1" o:title="gavel"/>
      </v:shape>
    </w:pict>
  </w:numPicBullet>
  <w:abstractNum w:abstractNumId="0" w15:restartNumberingAfterBreak="0">
    <w:nsid w:val="015E2A27"/>
    <w:multiLevelType w:val="hybridMultilevel"/>
    <w:tmpl w:val="CF00E6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009BC"/>
    <w:multiLevelType w:val="hybridMultilevel"/>
    <w:tmpl w:val="6B00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28D"/>
    <w:multiLevelType w:val="hybridMultilevel"/>
    <w:tmpl w:val="977E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188B"/>
    <w:multiLevelType w:val="hybridMultilevel"/>
    <w:tmpl w:val="78ACBCD0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3258"/>
    <w:multiLevelType w:val="hybridMultilevel"/>
    <w:tmpl w:val="6E682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23683"/>
    <w:multiLevelType w:val="hybridMultilevel"/>
    <w:tmpl w:val="FC342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5E01A64"/>
    <w:multiLevelType w:val="hybridMultilevel"/>
    <w:tmpl w:val="08D8B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2" w15:restartNumberingAfterBreak="0">
    <w:nsid w:val="4C3437AB"/>
    <w:multiLevelType w:val="hybridMultilevel"/>
    <w:tmpl w:val="6D389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D30F0"/>
    <w:multiLevelType w:val="hybridMultilevel"/>
    <w:tmpl w:val="4142CE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E43A6"/>
    <w:multiLevelType w:val="hybridMultilevel"/>
    <w:tmpl w:val="B462AEB0"/>
    <w:lvl w:ilvl="0" w:tplc="0ED09F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74212"/>
    <w:multiLevelType w:val="hybridMultilevel"/>
    <w:tmpl w:val="A5008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B54911"/>
    <w:multiLevelType w:val="hybridMultilevel"/>
    <w:tmpl w:val="D85E4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1615"/>
    <w:multiLevelType w:val="hybridMultilevel"/>
    <w:tmpl w:val="BBB6D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A3C09"/>
    <w:multiLevelType w:val="hybridMultilevel"/>
    <w:tmpl w:val="72F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1EA2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A43C1"/>
    <w:multiLevelType w:val="hybridMultilevel"/>
    <w:tmpl w:val="2262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653FD"/>
    <w:multiLevelType w:val="hybridMultilevel"/>
    <w:tmpl w:val="A4AE3D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70129"/>
    <w:multiLevelType w:val="hybridMultilevel"/>
    <w:tmpl w:val="8AD82000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5266D"/>
    <w:multiLevelType w:val="hybridMultilevel"/>
    <w:tmpl w:val="A656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1"/>
  </w:num>
  <w:num w:numId="4">
    <w:abstractNumId w:val="9"/>
  </w:num>
  <w:num w:numId="5">
    <w:abstractNumId w:val="31"/>
  </w:num>
  <w:num w:numId="6">
    <w:abstractNumId w:val="34"/>
  </w:num>
  <w:num w:numId="7">
    <w:abstractNumId w:val="25"/>
  </w:num>
  <w:num w:numId="8">
    <w:abstractNumId w:val="27"/>
  </w:num>
  <w:num w:numId="9">
    <w:abstractNumId w:val="20"/>
  </w:num>
  <w:num w:numId="10">
    <w:abstractNumId w:val="17"/>
  </w:num>
  <w:num w:numId="11">
    <w:abstractNumId w:val="10"/>
  </w:num>
  <w:num w:numId="12">
    <w:abstractNumId w:val="3"/>
  </w:num>
  <w:num w:numId="13">
    <w:abstractNumId w:val="7"/>
  </w:num>
  <w:num w:numId="14">
    <w:abstractNumId w:val="19"/>
  </w:num>
  <w:num w:numId="15">
    <w:abstractNumId w:val="32"/>
  </w:num>
  <w:num w:numId="16">
    <w:abstractNumId w:val="28"/>
  </w:num>
  <w:num w:numId="17">
    <w:abstractNumId w:val="16"/>
  </w:num>
  <w:num w:numId="18">
    <w:abstractNumId w:val="8"/>
  </w:num>
  <w:num w:numId="19">
    <w:abstractNumId w:val="11"/>
  </w:num>
  <w:num w:numId="20">
    <w:abstractNumId w:val="18"/>
  </w:num>
  <w:num w:numId="21">
    <w:abstractNumId w:val="29"/>
  </w:num>
  <w:num w:numId="22">
    <w:abstractNumId w:val="24"/>
  </w:num>
  <w:num w:numId="23">
    <w:abstractNumId w:val="2"/>
  </w:num>
  <w:num w:numId="24">
    <w:abstractNumId w:val="12"/>
  </w:num>
  <w:num w:numId="25">
    <w:abstractNumId w:val="23"/>
  </w:num>
  <w:num w:numId="26">
    <w:abstractNumId w:val="13"/>
  </w:num>
  <w:num w:numId="27">
    <w:abstractNumId w:val="6"/>
  </w:num>
  <w:num w:numId="28">
    <w:abstractNumId w:val="0"/>
  </w:num>
  <w:num w:numId="29">
    <w:abstractNumId w:val="26"/>
  </w:num>
  <w:num w:numId="30">
    <w:abstractNumId w:val="14"/>
  </w:num>
  <w:num w:numId="31">
    <w:abstractNumId w:val="5"/>
  </w:num>
  <w:num w:numId="32">
    <w:abstractNumId w:val="33"/>
  </w:num>
  <w:num w:numId="33">
    <w:abstractNumId w:val="22"/>
  </w:num>
  <w:num w:numId="34">
    <w:abstractNumId w:val="15"/>
  </w:num>
  <w:num w:numId="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6DA"/>
    <w:rsid w:val="000060FA"/>
    <w:rsid w:val="00010006"/>
    <w:rsid w:val="0001087F"/>
    <w:rsid w:val="00013D27"/>
    <w:rsid w:val="00017827"/>
    <w:rsid w:val="0002009C"/>
    <w:rsid w:val="00023E53"/>
    <w:rsid w:val="00031C1D"/>
    <w:rsid w:val="00032F25"/>
    <w:rsid w:val="0003771B"/>
    <w:rsid w:val="00040E8D"/>
    <w:rsid w:val="00043370"/>
    <w:rsid w:val="000546BA"/>
    <w:rsid w:val="0005687B"/>
    <w:rsid w:val="00057DEB"/>
    <w:rsid w:val="000610C8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A50A2"/>
    <w:rsid w:val="000B3DC3"/>
    <w:rsid w:val="000B3EFE"/>
    <w:rsid w:val="000B5896"/>
    <w:rsid w:val="000B5C4A"/>
    <w:rsid w:val="000B6C9A"/>
    <w:rsid w:val="000C63A4"/>
    <w:rsid w:val="000C682C"/>
    <w:rsid w:val="000D43E1"/>
    <w:rsid w:val="000D51DB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265EB"/>
    <w:rsid w:val="001327CC"/>
    <w:rsid w:val="001428A9"/>
    <w:rsid w:val="00143F8B"/>
    <w:rsid w:val="00145200"/>
    <w:rsid w:val="00152F79"/>
    <w:rsid w:val="00157B42"/>
    <w:rsid w:val="00157B72"/>
    <w:rsid w:val="00161C12"/>
    <w:rsid w:val="00162099"/>
    <w:rsid w:val="00162B64"/>
    <w:rsid w:val="00163CE4"/>
    <w:rsid w:val="00166FB9"/>
    <w:rsid w:val="00170CFA"/>
    <w:rsid w:val="00170F47"/>
    <w:rsid w:val="00177960"/>
    <w:rsid w:val="00177CB8"/>
    <w:rsid w:val="00182ACE"/>
    <w:rsid w:val="00182CE3"/>
    <w:rsid w:val="00185CD0"/>
    <w:rsid w:val="0018693A"/>
    <w:rsid w:val="00186B45"/>
    <w:rsid w:val="00187B48"/>
    <w:rsid w:val="001903EB"/>
    <w:rsid w:val="001918E1"/>
    <w:rsid w:val="001A6ED1"/>
    <w:rsid w:val="001B224B"/>
    <w:rsid w:val="001C25CC"/>
    <w:rsid w:val="001C3253"/>
    <w:rsid w:val="001C6DAD"/>
    <w:rsid w:val="001E189E"/>
    <w:rsid w:val="001E267D"/>
    <w:rsid w:val="001E45C4"/>
    <w:rsid w:val="001E5680"/>
    <w:rsid w:val="001F006A"/>
    <w:rsid w:val="001F0AA2"/>
    <w:rsid w:val="001F248A"/>
    <w:rsid w:val="001F6ACA"/>
    <w:rsid w:val="00203647"/>
    <w:rsid w:val="00205A15"/>
    <w:rsid w:val="002060CA"/>
    <w:rsid w:val="002111DC"/>
    <w:rsid w:val="00215CC6"/>
    <w:rsid w:val="00215FB1"/>
    <w:rsid w:val="002169FC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6730E"/>
    <w:rsid w:val="00273D78"/>
    <w:rsid w:val="0027681A"/>
    <w:rsid w:val="00277900"/>
    <w:rsid w:val="00281F93"/>
    <w:rsid w:val="002831F0"/>
    <w:rsid w:val="00283CA0"/>
    <w:rsid w:val="002849A8"/>
    <w:rsid w:val="0029398C"/>
    <w:rsid w:val="002971B3"/>
    <w:rsid w:val="002A246A"/>
    <w:rsid w:val="002A2E4B"/>
    <w:rsid w:val="002B19EE"/>
    <w:rsid w:val="002C4AA2"/>
    <w:rsid w:val="002D4D39"/>
    <w:rsid w:val="002E23EE"/>
    <w:rsid w:val="002E42E5"/>
    <w:rsid w:val="002E57B0"/>
    <w:rsid w:val="002F2ED5"/>
    <w:rsid w:val="002F2F21"/>
    <w:rsid w:val="002F317C"/>
    <w:rsid w:val="002F6E83"/>
    <w:rsid w:val="002F77AB"/>
    <w:rsid w:val="00305CB9"/>
    <w:rsid w:val="00311D89"/>
    <w:rsid w:val="00315485"/>
    <w:rsid w:val="00317BA9"/>
    <w:rsid w:val="003260F9"/>
    <w:rsid w:val="00333AA1"/>
    <w:rsid w:val="00336AB6"/>
    <w:rsid w:val="0033704C"/>
    <w:rsid w:val="00340968"/>
    <w:rsid w:val="003427EE"/>
    <w:rsid w:val="0035210F"/>
    <w:rsid w:val="00353217"/>
    <w:rsid w:val="00353B77"/>
    <w:rsid w:val="0036223D"/>
    <w:rsid w:val="00362AFF"/>
    <w:rsid w:val="003657D9"/>
    <w:rsid w:val="00365D1A"/>
    <w:rsid w:val="00370B7B"/>
    <w:rsid w:val="0037681E"/>
    <w:rsid w:val="003832A1"/>
    <w:rsid w:val="00387B24"/>
    <w:rsid w:val="00390215"/>
    <w:rsid w:val="0039178B"/>
    <w:rsid w:val="00395930"/>
    <w:rsid w:val="0039601A"/>
    <w:rsid w:val="003A2121"/>
    <w:rsid w:val="003A3043"/>
    <w:rsid w:val="003B6ABD"/>
    <w:rsid w:val="003B7F39"/>
    <w:rsid w:val="003C026A"/>
    <w:rsid w:val="003C21F7"/>
    <w:rsid w:val="003C3A31"/>
    <w:rsid w:val="003C4C7E"/>
    <w:rsid w:val="003C5AAA"/>
    <w:rsid w:val="003C661F"/>
    <w:rsid w:val="003C796F"/>
    <w:rsid w:val="003C7AAD"/>
    <w:rsid w:val="003D5540"/>
    <w:rsid w:val="003E7B7A"/>
    <w:rsid w:val="003F475A"/>
    <w:rsid w:val="00400AAB"/>
    <w:rsid w:val="004054B6"/>
    <w:rsid w:val="00407333"/>
    <w:rsid w:val="00411991"/>
    <w:rsid w:val="004126CA"/>
    <w:rsid w:val="00414BD9"/>
    <w:rsid w:val="00416190"/>
    <w:rsid w:val="0041727B"/>
    <w:rsid w:val="00434121"/>
    <w:rsid w:val="00435080"/>
    <w:rsid w:val="00440B91"/>
    <w:rsid w:val="00443DCB"/>
    <w:rsid w:val="0044798C"/>
    <w:rsid w:val="0045164E"/>
    <w:rsid w:val="004571BC"/>
    <w:rsid w:val="00463806"/>
    <w:rsid w:val="0046627B"/>
    <w:rsid w:val="00466A0B"/>
    <w:rsid w:val="00466E5A"/>
    <w:rsid w:val="004766BA"/>
    <w:rsid w:val="00477A59"/>
    <w:rsid w:val="00481432"/>
    <w:rsid w:val="004868B0"/>
    <w:rsid w:val="00491E08"/>
    <w:rsid w:val="00496258"/>
    <w:rsid w:val="004970BA"/>
    <w:rsid w:val="004A43BD"/>
    <w:rsid w:val="004A7D24"/>
    <w:rsid w:val="004B493F"/>
    <w:rsid w:val="004B53B9"/>
    <w:rsid w:val="004C0A13"/>
    <w:rsid w:val="004C4F11"/>
    <w:rsid w:val="004C6FAD"/>
    <w:rsid w:val="004D074F"/>
    <w:rsid w:val="004D5B66"/>
    <w:rsid w:val="004E1968"/>
    <w:rsid w:val="004E1DF1"/>
    <w:rsid w:val="004E3101"/>
    <w:rsid w:val="004E3410"/>
    <w:rsid w:val="004E4B5C"/>
    <w:rsid w:val="004E5541"/>
    <w:rsid w:val="004E73B5"/>
    <w:rsid w:val="004F045A"/>
    <w:rsid w:val="004F36F9"/>
    <w:rsid w:val="004F46C8"/>
    <w:rsid w:val="00501B87"/>
    <w:rsid w:val="00502296"/>
    <w:rsid w:val="00505D1F"/>
    <w:rsid w:val="00511108"/>
    <w:rsid w:val="0051249B"/>
    <w:rsid w:val="00513EFE"/>
    <w:rsid w:val="00515DD3"/>
    <w:rsid w:val="0051629D"/>
    <w:rsid w:val="00522084"/>
    <w:rsid w:val="00531B4D"/>
    <w:rsid w:val="005326AC"/>
    <w:rsid w:val="00533294"/>
    <w:rsid w:val="0053330C"/>
    <w:rsid w:val="00537C00"/>
    <w:rsid w:val="00543946"/>
    <w:rsid w:val="005443AE"/>
    <w:rsid w:val="00547708"/>
    <w:rsid w:val="005518C5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450C"/>
    <w:rsid w:val="00576B33"/>
    <w:rsid w:val="00577D0D"/>
    <w:rsid w:val="00577E8E"/>
    <w:rsid w:val="00582A57"/>
    <w:rsid w:val="005861DE"/>
    <w:rsid w:val="00590951"/>
    <w:rsid w:val="00591F1D"/>
    <w:rsid w:val="0059595F"/>
    <w:rsid w:val="00595EC9"/>
    <w:rsid w:val="00597665"/>
    <w:rsid w:val="00597CFD"/>
    <w:rsid w:val="005A325B"/>
    <w:rsid w:val="005A479D"/>
    <w:rsid w:val="005A638E"/>
    <w:rsid w:val="005A7683"/>
    <w:rsid w:val="005B0133"/>
    <w:rsid w:val="005B02DB"/>
    <w:rsid w:val="005B4A04"/>
    <w:rsid w:val="005B4AEF"/>
    <w:rsid w:val="005C1ECC"/>
    <w:rsid w:val="005D1E7C"/>
    <w:rsid w:val="005D2A7C"/>
    <w:rsid w:val="005D325A"/>
    <w:rsid w:val="005D331E"/>
    <w:rsid w:val="005D62FD"/>
    <w:rsid w:val="005D7A5F"/>
    <w:rsid w:val="005E29F5"/>
    <w:rsid w:val="005E6ED9"/>
    <w:rsid w:val="005F1F54"/>
    <w:rsid w:val="005F21CE"/>
    <w:rsid w:val="005F4872"/>
    <w:rsid w:val="00604BDE"/>
    <w:rsid w:val="006174E1"/>
    <w:rsid w:val="00622E6B"/>
    <w:rsid w:val="00624220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86FD0"/>
    <w:rsid w:val="00693073"/>
    <w:rsid w:val="00695401"/>
    <w:rsid w:val="00695BE0"/>
    <w:rsid w:val="006A5CCA"/>
    <w:rsid w:val="006B3CB9"/>
    <w:rsid w:val="006B7629"/>
    <w:rsid w:val="006C02E5"/>
    <w:rsid w:val="006C03CF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311A"/>
    <w:rsid w:val="006E7BDD"/>
    <w:rsid w:val="006F0A80"/>
    <w:rsid w:val="006F7ACA"/>
    <w:rsid w:val="00703348"/>
    <w:rsid w:val="00717202"/>
    <w:rsid w:val="00720FD3"/>
    <w:rsid w:val="00723413"/>
    <w:rsid w:val="00724914"/>
    <w:rsid w:val="007272F6"/>
    <w:rsid w:val="00730E41"/>
    <w:rsid w:val="00732C65"/>
    <w:rsid w:val="00733262"/>
    <w:rsid w:val="007355B3"/>
    <w:rsid w:val="00735B42"/>
    <w:rsid w:val="007406BC"/>
    <w:rsid w:val="00743F66"/>
    <w:rsid w:val="007451B6"/>
    <w:rsid w:val="007509DF"/>
    <w:rsid w:val="00750E15"/>
    <w:rsid w:val="00752098"/>
    <w:rsid w:val="007528BF"/>
    <w:rsid w:val="0075471D"/>
    <w:rsid w:val="00770524"/>
    <w:rsid w:val="00785CCA"/>
    <w:rsid w:val="0078653C"/>
    <w:rsid w:val="00791339"/>
    <w:rsid w:val="00795476"/>
    <w:rsid w:val="007A5D3D"/>
    <w:rsid w:val="007A6A76"/>
    <w:rsid w:val="007B3AA3"/>
    <w:rsid w:val="007B4D87"/>
    <w:rsid w:val="007B74A3"/>
    <w:rsid w:val="007C645B"/>
    <w:rsid w:val="007C6C86"/>
    <w:rsid w:val="007D020B"/>
    <w:rsid w:val="007E1554"/>
    <w:rsid w:val="007E1971"/>
    <w:rsid w:val="007E5C5E"/>
    <w:rsid w:val="007E7CF4"/>
    <w:rsid w:val="007F3482"/>
    <w:rsid w:val="007F6CDE"/>
    <w:rsid w:val="00803911"/>
    <w:rsid w:val="008108AA"/>
    <w:rsid w:val="00817908"/>
    <w:rsid w:val="00822F8C"/>
    <w:rsid w:val="00823790"/>
    <w:rsid w:val="00831C5C"/>
    <w:rsid w:val="0083344B"/>
    <w:rsid w:val="00836F22"/>
    <w:rsid w:val="00840D09"/>
    <w:rsid w:val="008554EA"/>
    <w:rsid w:val="00855562"/>
    <w:rsid w:val="0085633F"/>
    <w:rsid w:val="008609CB"/>
    <w:rsid w:val="00870E82"/>
    <w:rsid w:val="0087125C"/>
    <w:rsid w:val="00872E51"/>
    <w:rsid w:val="008835D3"/>
    <w:rsid w:val="00886662"/>
    <w:rsid w:val="00886AB0"/>
    <w:rsid w:val="00892A5B"/>
    <w:rsid w:val="008A4AF9"/>
    <w:rsid w:val="008A7B7D"/>
    <w:rsid w:val="008B1A01"/>
    <w:rsid w:val="008B654E"/>
    <w:rsid w:val="008B6F9C"/>
    <w:rsid w:val="008C5E72"/>
    <w:rsid w:val="008D0ADA"/>
    <w:rsid w:val="008D5AD6"/>
    <w:rsid w:val="008E7ACA"/>
    <w:rsid w:val="008F016E"/>
    <w:rsid w:val="00907646"/>
    <w:rsid w:val="0091338F"/>
    <w:rsid w:val="009229B9"/>
    <w:rsid w:val="00945249"/>
    <w:rsid w:val="0094618E"/>
    <w:rsid w:val="009574F8"/>
    <w:rsid w:val="00960A79"/>
    <w:rsid w:val="00960D52"/>
    <w:rsid w:val="00970490"/>
    <w:rsid w:val="00970A93"/>
    <w:rsid w:val="00971B9B"/>
    <w:rsid w:val="0098097A"/>
    <w:rsid w:val="00984709"/>
    <w:rsid w:val="009954BD"/>
    <w:rsid w:val="009B309B"/>
    <w:rsid w:val="009B4495"/>
    <w:rsid w:val="009B44B8"/>
    <w:rsid w:val="009B4631"/>
    <w:rsid w:val="009B4E30"/>
    <w:rsid w:val="009B79C7"/>
    <w:rsid w:val="009C4ACC"/>
    <w:rsid w:val="009C76F8"/>
    <w:rsid w:val="009D20BA"/>
    <w:rsid w:val="009D283B"/>
    <w:rsid w:val="009D3494"/>
    <w:rsid w:val="009D397E"/>
    <w:rsid w:val="009E24F1"/>
    <w:rsid w:val="009E571A"/>
    <w:rsid w:val="009F0E9A"/>
    <w:rsid w:val="009F277C"/>
    <w:rsid w:val="009F2C00"/>
    <w:rsid w:val="009F720E"/>
    <w:rsid w:val="009F7AE3"/>
    <w:rsid w:val="00A01C13"/>
    <w:rsid w:val="00A01E86"/>
    <w:rsid w:val="00A026C1"/>
    <w:rsid w:val="00A02CC8"/>
    <w:rsid w:val="00A07ED8"/>
    <w:rsid w:val="00A1049B"/>
    <w:rsid w:val="00A110C1"/>
    <w:rsid w:val="00A14EC3"/>
    <w:rsid w:val="00A15793"/>
    <w:rsid w:val="00A179EA"/>
    <w:rsid w:val="00A2094F"/>
    <w:rsid w:val="00A21E0B"/>
    <w:rsid w:val="00A2356A"/>
    <w:rsid w:val="00A32DE5"/>
    <w:rsid w:val="00A337BF"/>
    <w:rsid w:val="00A3476C"/>
    <w:rsid w:val="00A360E2"/>
    <w:rsid w:val="00A43E56"/>
    <w:rsid w:val="00A449E2"/>
    <w:rsid w:val="00A502B0"/>
    <w:rsid w:val="00A538E8"/>
    <w:rsid w:val="00A55D44"/>
    <w:rsid w:val="00A5727C"/>
    <w:rsid w:val="00A61A5C"/>
    <w:rsid w:val="00A66229"/>
    <w:rsid w:val="00A7187F"/>
    <w:rsid w:val="00A72366"/>
    <w:rsid w:val="00A80000"/>
    <w:rsid w:val="00A915AE"/>
    <w:rsid w:val="00A9333A"/>
    <w:rsid w:val="00AA031F"/>
    <w:rsid w:val="00AB06E1"/>
    <w:rsid w:val="00AB0EC5"/>
    <w:rsid w:val="00AB226F"/>
    <w:rsid w:val="00AB23DB"/>
    <w:rsid w:val="00AC161F"/>
    <w:rsid w:val="00AC2452"/>
    <w:rsid w:val="00AC32D3"/>
    <w:rsid w:val="00AC3702"/>
    <w:rsid w:val="00AC7DCF"/>
    <w:rsid w:val="00AD03EA"/>
    <w:rsid w:val="00AD1473"/>
    <w:rsid w:val="00AD439D"/>
    <w:rsid w:val="00AE2A1B"/>
    <w:rsid w:val="00AF33C5"/>
    <w:rsid w:val="00AF49A7"/>
    <w:rsid w:val="00B00124"/>
    <w:rsid w:val="00B03320"/>
    <w:rsid w:val="00B035A1"/>
    <w:rsid w:val="00B11F46"/>
    <w:rsid w:val="00B1229F"/>
    <w:rsid w:val="00B12A4F"/>
    <w:rsid w:val="00B23735"/>
    <w:rsid w:val="00B243A7"/>
    <w:rsid w:val="00B30470"/>
    <w:rsid w:val="00B304C3"/>
    <w:rsid w:val="00B32F06"/>
    <w:rsid w:val="00B33B3B"/>
    <w:rsid w:val="00B361C8"/>
    <w:rsid w:val="00B40319"/>
    <w:rsid w:val="00B43DD9"/>
    <w:rsid w:val="00B44A4C"/>
    <w:rsid w:val="00B5450F"/>
    <w:rsid w:val="00B57235"/>
    <w:rsid w:val="00B658DF"/>
    <w:rsid w:val="00B733F9"/>
    <w:rsid w:val="00B757BE"/>
    <w:rsid w:val="00B9076A"/>
    <w:rsid w:val="00B928D6"/>
    <w:rsid w:val="00B9350D"/>
    <w:rsid w:val="00B93A30"/>
    <w:rsid w:val="00B94A91"/>
    <w:rsid w:val="00BB5248"/>
    <w:rsid w:val="00BB6251"/>
    <w:rsid w:val="00BC0EF3"/>
    <w:rsid w:val="00BC3365"/>
    <w:rsid w:val="00BC3B77"/>
    <w:rsid w:val="00BC50A7"/>
    <w:rsid w:val="00BC7F12"/>
    <w:rsid w:val="00BD178D"/>
    <w:rsid w:val="00BD352C"/>
    <w:rsid w:val="00BF222D"/>
    <w:rsid w:val="00C00887"/>
    <w:rsid w:val="00C03954"/>
    <w:rsid w:val="00C04BE1"/>
    <w:rsid w:val="00C06431"/>
    <w:rsid w:val="00C06C11"/>
    <w:rsid w:val="00C11DE8"/>
    <w:rsid w:val="00C2258C"/>
    <w:rsid w:val="00C2324C"/>
    <w:rsid w:val="00C24ECE"/>
    <w:rsid w:val="00C27614"/>
    <w:rsid w:val="00C4012C"/>
    <w:rsid w:val="00C4438B"/>
    <w:rsid w:val="00C53233"/>
    <w:rsid w:val="00C55B85"/>
    <w:rsid w:val="00C61AA3"/>
    <w:rsid w:val="00C649BB"/>
    <w:rsid w:val="00C707DC"/>
    <w:rsid w:val="00C74FAD"/>
    <w:rsid w:val="00C82FE8"/>
    <w:rsid w:val="00C85C96"/>
    <w:rsid w:val="00C867FC"/>
    <w:rsid w:val="00C9558A"/>
    <w:rsid w:val="00CA36B4"/>
    <w:rsid w:val="00CA5888"/>
    <w:rsid w:val="00CB0F4E"/>
    <w:rsid w:val="00CB23BA"/>
    <w:rsid w:val="00CC37B2"/>
    <w:rsid w:val="00CC39FE"/>
    <w:rsid w:val="00CD2ABE"/>
    <w:rsid w:val="00CD30DC"/>
    <w:rsid w:val="00CD440E"/>
    <w:rsid w:val="00CD79E3"/>
    <w:rsid w:val="00CE11BC"/>
    <w:rsid w:val="00CE201C"/>
    <w:rsid w:val="00CE3E08"/>
    <w:rsid w:val="00CE5873"/>
    <w:rsid w:val="00CE58C4"/>
    <w:rsid w:val="00CF0727"/>
    <w:rsid w:val="00CF3740"/>
    <w:rsid w:val="00D00099"/>
    <w:rsid w:val="00D028E4"/>
    <w:rsid w:val="00D02AEB"/>
    <w:rsid w:val="00D05B66"/>
    <w:rsid w:val="00D10A48"/>
    <w:rsid w:val="00D14647"/>
    <w:rsid w:val="00D155DD"/>
    <w:rsid w:val="00D25D33"/>
    <w:rsid w:val="00D268A5"/>
    <w:rsid w:val="00D26F11"/>
    <w:rsid w:val="00D31E83"/>
    <w:rsid w:val="00D356F3"/>
    <w:rsid w:val="00D432AC"/>
    <w:rsid w:val="00D43344"/>
    <w:rsid w:val="00D51E37"/>
    <w:rsid w:val="00D52487"/>
    <w:rsid w:val="00D52621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A34FD"/>
    <w:rsid w:val="00DB52AD"/>
    <w:rsid w:val="00DC2B7D"/>
    <w:rsid w:val="00DD0053"/>
    <w:rsid w:val="00DD471D"/>
    <w:rsid w:val="00DD49A0"/>
    <w:rsid w:val="00DD753E"/>
    <w:rsid w:val="00DE0FAB"/>
    <w:rsid w:val="00DE622E"/>
    <w:rsid w:val="00DE63AB"/>
    <w:rsid w:val="00DE6668"/>
    <w:rsid w:val="00DE7DBC"/>
    <w:rsid w:val="00DF22C5"/>
    <w:rsid w:val="00DF323F"/>
    <w:rsid w:val="00DF3924"/>
    <w:rsid w:val="00DF52B8"/>
    <w:rsid w:val="00DF530E"/>
    <w:rsid w:val="00DF6DA8"/>
    <w:rsid w:val="00E010B3"/>
    <w:rsid w:val="00E025D9"/>
    <w:rsid w:val="00E055E4"/>
    <w:rsid w:val="00E07CC4"/>
    <w:rsid w:val="00E10FD5"/>
    <w:rsid w:val="00E14E52"/>
    <w:rsid w:val="00E21A71"/>
    <w:rsid w:val="00E2430C"/>
    <w:rsid w:val="00E24A73"/>
    <w:rsid w:val="00E30572"/>
    <w:rsid w:val="00E335A3"/>
    <w:rsid w:val="00E3431C"/>
    <w:rsid w:val="00E35B5A"/>
    <w:rsid w:val="00E36CE6"/>
    <w:rsid w:val="00E612C1"/>
    <w:rsid w:val="00E66B91"/>
    <w:rsid w:val="00E6755F"/>
    <w:rsid w:val="00E7243F"/>
    <w:rsid w:val="00E80AB3"/>
    <w:rsid w:val="00E8476E"/>
    <w:rsid w:val="00E85FFB"/>
    <w:rsid w:val="00E905DE"/>
    <w:rsid w:val="00E93078"/>
    <w:rsid w:val="00E93B32"/>
    <w:rsid w:val="00E96C8C"/>
    <w:rsid w:val="00EA193B"/>
    <w:rsid w:val="00EA4CE9"/>
    <w:rsid w:val="00EB20C1"/>
    <w:rsid w:val="00EB60A4"/>
    <w:rsid w:val="00EC4FE6"/>
    <w:rsid w:val="00EC6EEF"/>
    <w:rsid w:val="00ED149A"/>
    <w:rsid w:val="00ED438F"/>
    <w:rsid w:val="00ED7AB1"/>
    <w:rsid w:val="00EE081F"/>
    <w:rsid w:val="00EE5A70"/>
    <w:rsid w:val="00EF1AD8"/>
    <w:rsid w:val="00EF5B5A"/>
    <w:rsid w:val="00EF7690"/>
    <w:rsid w:val="00EF7B30"/>
    <w:rsid w:val="00EF7E5A"/>
    <w:rsid w:val="00F23515"/>
    <w:rsid w:val="00F274A0"/>
    <w:rsid w:val="00F30D7F"/>
    <w:rsid w:val="00F3104A"/>
    <w:rsid w:val="00F31F20"/>
    <w:rsid w:val="00F34E84"/>
    <w:rsid w:val="00F35366"/>
    <w:rsid w:val="00F45F05"/>
    <w:rsid w:val="00F47A02"/>
    <w:rsid w:val="00F569E5"/>
    <w:rsid w:val="00F60332"/>
    <w:rsid w:val="00F61665"/>
    <w:rsid w:val="00F62771"/>
    <w:rsid w:val="00F64C41"/>
    <w:rsid w:val="00F84A8D"/>
    <w:rsid w:val="00F86485"/>
    <w:rsid w:val="00F86E79"/>
    <w:rsid w:val="00F92904"/>
    <w:rsid w:val="00F94AA3"/>
    <w:rsid w:val="00FA2D6D"/>
    <w:rsid w:val="00FA5DDA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E7F4F"/>
    <w:rsid w:val="00FF585B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29392"/>
  <w15:docId w15:val="{8A58ED2F-75DA-42D0-A96C-4CB79B97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6/dc1101/item4.pdf" TargetMode="External"/><Relationship Id="rId18" Type="http://schemas.openxmlformats.org/officeDocument/2006/relationships/hyperlink" Target="http://etf.wi.gov/boards/agenda-items-2016/dc1101/item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dc1101/item1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dc1101/item3.pdf" TargetMode="External"/><Relationship Id="rId17" Type="http://schemas.openxmlformats.org/officeDocument/2006/relationships/hyperlink" Target="http://etf.wi.gov/boards/agenda-items-2016/dc1101/item7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dc1101/item6.pdf" TargetMode="External"/><Relationship Id="rId20" Type="http://schemas.openxmlformats.org/officeDocument/2006/relationships/hyperlink" Target="http://etf.wi.gov/boards/agenda-items-2016/dc1101/item9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dc1101/item2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dc1101/item5b.pdf" TargetMode="External"/><Relationship Id="rId23" Type="http://schemas.openxmlformats.org/officeDocument/2006/relationships/hyperlink" Target="http://etf.wi.gov/boards/agenda-items-2016/dc1101/item13.pdf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6/dc1101/item9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6/dc1101/item1.pdf" TargetMode="External"/><Relationship Id="rId14" Type="http://schemas.openxmlformats.org/officeDocument/2006/relationships/hyperlink" Target="http://etf.wi.gov/boards/agenda-items-2016/dc1101/item5a.pdf" TargetMode="External"/><Relationship Id="rId22" Type="http://schemas.openxmlformats.org/officeDocument/2006/relationships/hyperlink" Target="http://etf.wi.gov/boards/agenda-items-2016/dc1101/item12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927F-878F-4803-B55D-289ED0AA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286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Wilkins, Cheryllynn</cp:lastModifiedBy>
  <cp:revision>8</cp:revision>
  <cp:lastPrinted>2016-04-27T13:59:00Z</cp:lastPrinted>
  <dcterms:created xsi:type="dcterms:W3CDTF">2016-09-29T16:44:00Z</dcterms:created>
  <dcterms:modified xsi:type="dcterms:W3CDTF">2016-10-17T16:39:00Z</dcterms:modified>
</cp:coreProperties>
</file>