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59" w:rsidRPr="00590C59" w:rsidRDefault="00590C59" w:rsidP="00590C59">
      <w:pPr>
        <w:pStyle w:val="Title"/>
        <w:jc w:val="right"/>
        <w:rPr>
          <w:rFonts w:ascii="Arial Black" w:hAnsi="Arial Black"/>
          <w:sz w:val="56"/>
          <w:szCs w:val="56"/>
        </w:rPr>
      </w:pPr>
      <w:r w:rsidRPr="00590C59">
        <w:rPr>
          <w:rFonts w:ascii="Arial Black" w:hAnsi="Arial Black"/>
          <w:sz w:val="56"/>
          <w:szCs w:val="56"/>
        </w:rPr>
        <w:t>AGENDA</w:t>
      </w:r>
    </w:p>
    <w:p w:rsidR="00590C59" w:rsidRPr="00DF6DA8" w:rsidRDefault="00590C59" w:rsidP="00590C5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590C59" w:rsidRDefault="00590C59" w:rsidP="00590C59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 Meeting </w:t>
      </w:r>
    </w:p>
    <w:p w:rsidR="00590C59" w:rsidRPr="00A3476C" w:rsidRDefault="00590C59" w:rsidP="00590C59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90C59" w:rsidRPr="00DF6DA8" w:rsidRDefault="00590C59" w:rsidP="00590C59">
      <w:pPr>
        <w:rPr>
          <w:rFonts w:cs="Arial"/>
          <w:b/>
        </w:rPr>
      </w:pPr>
    </w:p>
    <w:p w:rsidR="00590C59" w:rsidRPr="00770524" w:rsidRDefault="00590C59" w:rsidP="00590C59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Thursday, December 6, 2012</w:t>
      </w:r>
    </w:p>
    <w:p w:rsidR="00590C59" w:rsidRPr="00A3476C" w:rsidRDefault="00590C59" w:rsidP="00590C59">
      <w:pPr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12:30 p.m. – Events Room</w:t>
      </w:r>
    </w:p>
    <w:p w:rsidR="00590C59" w:rsidRPr="00A3476C" w:rsidRDefault="00590C59" w:rsidP="00590C59">
      <w:pPr>
        <w:rPr>
          <w:rFonts w:cs="Arial"/>
        </w:rPr>
      </w:pPr>
    </w:p>
    <w:p w:rsidR="00590C59" w:rsidRPr="00770524" w:rsidRDefault="00590C59" w:rsidP="00590C59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90C59" w:rsidRPr="00A3476C" w:rsidRDefault="00590C59" w:rsidP="00590C59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590C59" w:rsidRPr="00DF6DA8" w:rsidRDefault="00590C59" w:rsidP="00590C59">
      <w:pPr>
        <w:spacing w:before="240" w:after="240"/>
        <w:rPr>
          <w:rFonts w:cs="Arial"/>
          <w:i/>
          <w:snapToGrid w:val="0"/>
        </w:rPr>
      </w:pPr>
      <w:r w:rsidRPr="00DF6DA8">
        <w:rPr>
          <w:rFonts w:cs="Arial"/>
          <w:noProof/>
        </w:rPr>
        <w:drawing>
          <wp:inline distT="0" distB="0" distL="0" distR="0">
            <wp:extent cx="205740" cy="114300"/>
            <wp:effectExtent l="19050" t="0" r="381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cs="Arial"/>
        </w:rPr>
        <w:t xml:space="preserve">     </w:t>
      </w:r>
      <w:r w:rsidRPr="00DF6DA8">
        <w:rPr>
          <w:rFonts w:cs="Arial"/>
          <w:i/>
          <w:snapToGrid w:val="0"/>
        </w:rPr>
        <w:t>Denotes action item</w:t>
      </w:r>
    </w:p>
    <w:p w:rsidR="00590C59" w:rsidRDefault="00590C59" w:rsidP="00AD50AA">
      <w:pPr>
        <w:spacing w:before="120" w:after="120"/>
        <w:jc w:val="center"/>
        <w:rPr>
          <w:sz w:val="20"/>
        </w:rPr>
      </w:pPr>
    </w:p>
    <w:tbl>
      <w:tblPr>
        <w:tblW w:w="9630" w:type="dxa"/>
        <w:tblInd w:w="1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ayout w:type="fixed"/>
        <w:tblLook w:val="00AE"/>
      </w:tblPr>
      <w:tblGrid>
        <w:gridCol w:w="1440"/>
        <w:gridCol w:w="540"/>
        <w:gridCol w:w="540"/>
        <w:gridCol w:w="7110"/>
      </w:tblGrid>
      <w:tr w:rsidR="00AD50AA" w:rsidRPr="00F67BB4" w:rsidTr="00590C59">
        <w:trPr>
          <w:cantSplit/>
          <w:trHeight w:val="369"/>
        </w:trPr>
        <w:tc>
          <w:tcPr>
            <w:tcW w:w="1440" w:type="dxa"/>
          </w:tcPr>
          <w:p w:rsidR="00AD50AA" w:rsidRPr="00606F82" w:rsidRDefault="00A04D76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8F3C16">
              <w:rPr>
                <w:rFonts w:cs="Arial"/>
                <w:szCs w:val="24"/>
              </w:rPr>
              <w:t>2:3</w:t>
            </w:r>
            <w:r w:rsidR="00E26DBB" w:rsidRPr="00606F82">
              <w:rPr>
                <w:rFonts w:cs="Arial"/>
                <w:szCs w:val="24"/>
              </w:rPr>
              <w:t>0</w:t>
            </w:r>
            <w:r w:rsidR="00AD50AA" w:rsidRPr="00606F82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szCs w:val="24"/>
              </w:rPr>
            </w:pPr>
          </w:p>
        </w:tc>
        <w:tc>
          <w:tcPr>
            <w:tcW w:w="7110" w:type="dxa"/>
          </w:tcPr>
          <w:p w:rsidR="00AD50AA" w:rsidRPr="00606F82" w:rsidRDefault="00AD50AA" w:rsidP="00590C59">
            <w:pPr>
              <w:spacing w:before="120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>Call to Order</w:t>
            </w:r>
          </w:p>
          <w:p w:rsidR="00606F82" w:rsidRPr="00606F82" w:rsidRDefault="00606F82" w:rsidP="00590C59">
            <w:pPr>
              <w:spacing w:before="120"/>
              <w:rPr>
                <w:rFonts w:cs="Arial"/>
                <w:b/>
                <w:szCs w:val="24"/>
              </w:rPr>
            </w:pPr>
          </w:p>
        </w:tc>
      </w:tr>
      <w:tr w:rsidR="00AD50AA" w:rsidRPr="00F67BB4" w:rsidTr="00590C59">
        <w:trPr>
          <w:cantSplit/>
          <w:trHeight w:val="531"/>
        </w:trPr>
        <w:tc>
          <w:tcPr>
            <w:tcW w:w="1440" w:type="dxa"/>
          </w:tcPr>
          <w:p w:rsidR="00AD50AA" w:rsidRPr="00606F82" w:rsidRDefault="00C7525A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8F3C16">
              <w:rPr>
                <w:rFonts w:cs="Arial"/>
                <w:szCs w:val="24"/>
              </w:rPr>
              <w:t>2:3</w:t>
            </w:r>
            <w:r>
              <w:rPr>
                <w:rFonts w:cs="Arial"/>
                <w:szCs w:val="24"/>
              </w:rPr>
              <w:t>0</w:t>
            </w:r>
            <w:r w:rsidR="00A93EB6" w:rsidRPr="00606F82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606F82" w:rsidRDefault="00D74145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2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1.</w:t>
            </w:r>
          </w:p>
        </w:tc>
        <w:tc>
          <w:tcPr>
            <w:tcW w:w="7110" w:type="dxa"/>
          </w:tcPr>
          <w:p w:rsidR="00AD50AA" w:rsidRPr="00606F82" w:rsidRDefault="00E75C9D" w:rsidP="00590C59">
            <w:pPr>
              <w:spacing w:before="120"/>
              <w:rPr>
                <w:rFonts w:cs="Arial"/>
                <w:b/>
                <w:szCs w:val="24"/>
              </w:rPr>
            </w:pPr>
            <w:hyperlink r:id="rId9" w:history="1">
              <w:r w:rsidR="00AD50AA" w:rsidRPr="00BF6642">
                <w:rPr>
                  <w:rStyle w:val="Hyperlink"/>
                  <w:rFonts w:cs="Arial"/>
                  <w:b/>
                  <w:szCs w:val="24"/>
                </w:rPr>
                <w:t xml:space="preserve">Consideration of </w:t>
              </w:r>
              <w:r w:rsidR="00C93748" w:rsidRPr="00BF6642">
                <w:rPr>
                  <w:rStyle w:val="Hyperlink"/>
                  <w:rFonts w:cs="Arial"/>
                  <w:b/>
                  <w:szCs w:val="24"/>
                </w:rPr>
                <w:t>September 20, 2012</w:t>
              </w:r>
              <w:r w:rsidR="00AD50AA" w:rsidRPr="00BF6642">
                <w:rPr>
                  <w:rStyle w:val="Hyperlink"/>
                  <w:rFonts w:cs="Arial"/>
                  <w:b/>
                  <w:szCs w:val="24"/>
                </w:rPr>
                <w:t xml:space="preserve">, </w:t>
              </w:r>
              <w:r w:rsidR="00364100" w:rsidRPr="00BF6642">
                <w:rPr>
                  <w:rStyle w:val="Hyperlink"/>
                  <w:rFonts w:cs="Arial"/>
                  <w:b/>
                  <w:szCs w:val="24"/>
                </w:rPr>
                <w:t xml:space="preserve">Meeting </w:t>
              </w:r>
              <w:r w:rsidR="00AD50AA" w:rsidRPr="00BF6642">
                <w:rPr>
                  <w:rStyle w:val="Hyperlink"/>
                  <w:rFonts w:cs="Arial"/>
                  <w:b/>
                  <w:szCs w:val="24"/>
                </w:rPr>
                <w:t>Minutes</w:t>
              </w:r>
              <w:r w:rsidR="00605464" w:rsidRPr="00BF6642">
                <w:rPr>
                  <w:rStyle w:val="Hyperlink"/>
                  <w:rFonts w:cs="Arial"/>
                  <w:b/>
                  <w:szCs w:val="24"/>
                </w:rPr>
                <w:t xml:space="preserve"> </w:t>
              </w:r>
            </w:hyperlink>
          </w:p>
        </w:tc>
      </w:tr>
      <w:tr w:rsidR="00AD50AA" w:rsidRPr="00F67BB4" w:rsidTr="00590C59">
        <w:trPr>
          <w:cantSplit/>
          <w:trHeight w:val="630"/>
        </w:trPr>
        <w:tc>
          <w:tcPr>
            <w:tcW w:w="1440" w:type="dxa"/>
          </w:tcPr>
          <w:p w:rsidR="00AD50AA" w:rsidRPr="00606F82" w:rsidRDefault="00C7525A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8F3C16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:</w:t>
            </w:r>
            <w:r w:rsidR="008F3C16">
              <w:rPr>
                <w:rFonts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5</w:t>
            </w:r>
            <w:r w:rsidR="00A93EB6" w:rsidRPr="00606F82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2.</w:t>
            </w:r>
          </w:p>
        </w:tc>
        <w:tc>
          <w:tcPr>
            <w:tcW w:w="7110" w:type="dxa"/>
          </w:tcPr>
          <w:p w:rsidR="006311E9" w:rsidRPr="00606F82" w:rsidRDefault="00AD50AA" w:rsidP="00590C59">
            <w:pPr>
              <w:spacing w:before="120"/>
              <w:rPr>
                <w:rFonts w:cs="Arial"/>
                <w:snapToGrid w:val="0"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 xml:space="preserve">Announcements </w:t>
            </w:r>
          </w:p>
          <w:p w:rsidR="008B0DD7" w:rsidRPr="00606F82" w:rsidRDefault="008B0DD7" w:rsidP="00590C59">
            <w:pPr>
              <w:spacing w:before="120"/>
              <w:rPr>
                <w:rFonts w:cs="Arial"/>
                <w:i/>
                <w:szCs w:val="24"/>
              </w:rPr>
            </w:pPr>
          </w:p>
        </w:tc>
      </w:tr>
      <w:tr w:rsidR="00AD50AA" w:rsidRPr="00F67BB4" w:rsidTr="00590C59">
        <w:trPr>
          <w:cantSplit/>
          <w:trHeight w:val="1344"/>
        </w:trPr>
        <w:tc>
          <w:tcPr>
            <w:tcW w:w="1440" w:type="dxa"/>
          </w:tcPr>
          <w:p w:rsidR="00AD50AA" w:rsidRPr="00606F82" w:rsidRDefault="00C7525A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8F3C16">
              <w:rPr>
                <w:rFonts w:cs="Arial"/>
                <w:szCs w:val="24"/>
              </w:rPr>
              <w:t>2:4</w:t>
            </w:r>
            <w:r>
              <w:rPr>
                <w:rFonts w:cs="Arial"/>
                <w:szCs w:val="24"/>
              </w:rPr>
              <w:t xml:space="preserve">0 </w:t>
            </w:r>
            <w:r w:rsidR="00061332" w:rsidRPr="00606F82">
              <w:rPr>
                <w:rFonts w:cs="Arial"/>
                <w:szCs w:val="24"/>
              </w:rPr>
              <w:t>p.m.</w:t>
            </w: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AD50AA" w:rsidRPr="00606F82" w:rsidRDefault="00AD50AA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3.</w:t>
            </w:r>
          </w:p>
        </w:tc>
        <w:tc>
          <w:tcPr>
            <w:tcW w:w="7110" w:type="dxa"/>
          </w:tcPr>
          <w:p w:rsidR="00AD50AA" w:rsidRPr="00606F82" w:rsidRDefault="00AD50AA" w:rsidP="00590C59">
            <w:pPr>
              <w:spacing w:before="120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>Committee Reports</w:t>
            </w:r>
            <w:r w:rsidR="00285D2E" w:rsidRPr="00606F82">
              <w:rPr>
                <w:rFonts w:cs="Arial"/>
                <w:b/>
                <w:szCs w:val="24"/>
              </w:rPr>
              <w:t xml:space="preserve"> </w:t>
            </w:r>
          </w:p>
          <w:p w:rsidR="00AD50AA" w:rsidRPr="00606F82" w:rsidRDefault="00E27C96" w:rsidP="00590C59">
            <w:pPr>
              <w:numPr>
                <w:ilvl w:val="0"/>
                <w:numId w:val="17"/>
              </w:numPr>
              <w:ind w:hanging="18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Executive Committee</w:t>
            </w:r>
            <w:r w:rsidR="00FF3E28" w:rsidRPr="00606F82">
              <w:rPr>
                <w:rFonts w:cs="Arial"/>
                <w:szCs w:val="24"/>
              </w:rPr>
              <w:t xml:space="preserve"> </w:t>
            </w:r>
          </w:p>
          <w:p w:rsidR="00AD50AA" w:rsidRPr="00606F82" w:rsidRDefault="00E27C96" w:rsidP="00590C59">
            <w:pPr>
              <w:numPr>
                <w:ilvl w:val="0"/>
                <w:numId w:val="17"/>
              </w:numPr>
              <w:ind w:hanging="18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Audit Committee</w:t>
            </w:r>
            <w:r w:rsidR="00FF3E28" w:rsidRPr="00606F82">
              <w:rPr>
                <w:rFonts w:cs="Arial"/>
                <w:szCs w:val="24"/>
              </w:rPr>
              <w:t xml:space="preserve"> </w:t>
            </w:r>
          </w:p>
          <w:p w:rsidR="00285D2E" w:rsidRDefault="00275482" w:rsidP="00590C59">
            <w:pPr>
              <w:numPr>
                <w:ilvl w:val="0"/>
                <w:numId w:val="17"/>
              </w:numPr>
              <w:ind w:hanging="18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Budget and Operations Committee</w:t>
            </w:r>
          </w:p>
          <w:p w:rsidR="00283AD6" w:rsidRPr="00606F82" w:rsidRDefault="00283AD6" w:rsidP="00590C59">
            <w:pPr>
              <w:spacing w:before="120"/>
              <w:ind w:left="360"/>
              <w:rPr>
                <w:rFonts w:cs="Arial"/>
                <w:szCs w:val="24"/>
              </w:rPr>
            </w:pPr>
          </w:p>
        </w:tc>
      </w:tr>
      <w:tr w:rsidR="00E27C96" w:rsidRPr="00F67BB4" w:rsidTr="00590C59">
        <w:trPr>
          <w:cantSplit/>
          <w:trHeight w:val="2250"/>
        </w:trPr>
        <w:tc>
          <w:tcPr>
            <w:tcW w:w="1440" w:type="dxa"/>
          </w:tcPr>
          <w:p w:rsidR="00E27C96" w:rsidRPr="00606F82" w:rsidRDefault="00C7525A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8F3C16">
              <w:rPr>
                <w:rFonts w:cs="Arial"/>
                <w:szCs w:val="24"/>
              </w:rPr>
              <w:t>2:5</w:t>
            </w:r>
            <w:r>
              <w:rPr>
                <w:rFonts w:cs="Arial"/>
                <w:szCs w:val="24"/>
              </w:rPr>
              <w:t>0</w:t>
            </w:r>
            <w:r w:rsidR="00E27C96" w:rsidRPr="00606F82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E27C96" w:rsidRPr="00606F82" w:rsidRDefault="00D74145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 w:rsidRPr="00606F82"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3E2" w:rsidRPr="00606F82" w:rsidRDefault="003923E2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E27C96" w:rsidRPr="00606F82" w:rsidRDefault="00E27C96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>4.</w:t>
            </w:r>
          </w:p>
        </w:tc>
        <w:tc>
          <w:tcPr>
            <w:tcW w:w="7110" w:type="dxa"/>
          </w:tcPr>
          <w:p w:rsidR="00E27C96" w:rsidRPr="00606F82" w:rsidRDefault="00E27C96" w:rsidP="00590C59">
            <w:pPr>
              <w:spacing w:before="120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>Discussion/Consideration</w:t>
            </w:r>
          </w:p>
          <w:p w:rsidR="00A04D76" w:rsidRPr="00283AD6" w:rsidRDefault="00E75C9D" w:rsidP="00590C59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</w:rPr>
            </w:pPr>
            <w:hyperlink r:id="rId10" w:history="1">
              <w:r w:rsidR="00A04D76" w:rsidRPr="00A12489">
                <w:rPr>
                  <w:rStyle w:val="Hyperlink"/>
                  <w:rFonts w:ascii="Arial" w:hAnsi="Arial" w:cs="Arial"/>
                  <w:sz w:val="24"/>
                </w:rPr>
                <w:t>2011 Gain/Loss Analysis</w:t>
              </w:r>
            </w:hyperlink>
            <w:r w:rsidR="00FF1ED9" w:rsidRPr="00283AD6">
              <w:rPr>
                <w:rFonts w:ascii="Arial" w:hAnsi="Arial" w:cs="Arial"/>
                <w:sz w:val="24"/>
              </w:rPr>
              <w:t xml:space="preserve"> </w:t>
            </w:r>
          </w:p>
          <w:p w:rsidR="00A04D76" w:rsidRPr="00A04D76" w:rsidRDefault="00E75C9D" w:rsidP="00590C59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</w:rPr>
            </w:pPr>
            <w:hyperlink r:id="rId11" w:history="1">
              <w:r w:rsidR="00A04D76" w:rsidRPr="008834B2">
                <w:rPr>
                  <w:rStyle w:val="Hyperlink"/>
                  <w:rFonts w:ascii="Arial" w:hAnsi="Arial" w:cs="Arial"/>
                  <w:sz w:val="24"/>
                </w:rPr>
                <w:t>Wisconsin Retirement System (WRS) Three-Year Experience Study: January 1, 2009 – December 31, 2011</w:t>
              </w:r>
            </w:hyperlink>
            <w:r w:rsidR="00FF1ED9" w:rsidRPr="00283AD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A04D76" w:rsidRPr="00A04D76" w:rsidRDefault="00E75C9D" w:rsidP="00590C59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</w:rPr>
            </w:pPr>
            <w:hyperlink r:id="rId12" w:history="1">
              <w:r w:rsidR="00A04D76" w:rsidRPr="00BF6642">
                <w:rPr>
                  <w:rStyle w:val="Hyperlink"/>
                  <w:rFonts w:ascii="Arial" w:hAnsi="Arial" w:cs="Arial"/>
                  <w:sz w:val="24"/>
                </w:rPr>
                <w:t>Duty Disability Valuation</w:t>
              </w:r>
              <w:r w:rsidR="00A04D76" w:rsidRPr="00BF6642">
                <w:rPr>
                  <w:rStyle w:val="Hyperlink"/>
                  <w:rFonts w:ascii="Arial" w:hAnsi="Arial" w:cs="Arial"/>
                  <w:szCs w:val="20"/>
                </w:rPr>
                <w:t xml:space="preserve"> </w:t>
              </w:r>
            </w:hyperlink>
          </w:p>
          <w:p w:rsidR="00A04D76" w:rsidRPr="00A04D76" w:rsidRDefault="00E75C9D" w:rsidP="00590C59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</w:rPr>
            </w:pPr>
            <w:hyperlink r:id="rId13" w:history="1">
              <w:r w:rsidR="00A04D76" w:rsidRPr="008834B2">
                <w:rPr>
                  <w:rStyle w:val="Hyperlink"/>
                  <w:rFonts w:ascii="Arial" w:hAnsi="Arial" w:cs="Arial"/>
                  <w:sz w:val="24"/>
                </w:rPr>
                <w:t xml:space="preserve">Recommendation to </w:t>
              </w:r>
              <w:r w:rsidR="001C3436" w:rsidRPr="008834B2">
                <w:rPr>
                  <w:rStyle w:val="Hyperlink"/>
                  <w:rFonts w:ascii="Arial" w:hAnsi="Arial" w:cs="Arial"/>
                  <w:sz w:val="24"/>
                </w:rPr>
                <w:t xml:space="preserve">Develop and </w:t>
              </w:r>
              <w:r w:rsidR="00A04D76" w:rsidRPr="008834B2">
                <w:rPr>
                  <w:rStyle w:val="Hyperlink"/>
                  <w:rFonts w:ascii="Arial" w:hAnsi="Arial" w:cs="Arial"/>
                  <w:sz w:val="24"/>
                </w:rPr>
                <w:t xml:space="preserve">Release a </w:t>
              </w:r>
              <w:r w:rsidR="00C7525A" w:rsidRPr="008834B2">
                <w:rPr>
                  <w:rStyle w:val="Hyperlink"/>
                  <w:rFonts w:ascii="Arial" w:hAnsi="Arial" w:cs="Arial"/>
                  <w:sz w:val="24"/>
                </w:rPr>
                <w:t>Request for Proposal</w:t>
              </w:r>
              <w:r w:rsidR="00A04D76" w:rsidRPr="008834B2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C7525A" w:rsidRPr="008834B2">
                <w:rPr>
                  <w:rStyle w:val="Hyperlink"/>
                  <w:rFonts w:ascii="Arial" w:hAnsi="Arial" w:cs="Arial"/>
                  <w:sz w:val="24"/>
                </w:rPr>
                <w:t>for</w:t>
              </w:r>
              <w:r w:rsidR="00A04D76" w:rsidRPr="008834B2">
                <w:rPr>
                  <w:rStyle w:val="Hyperlink"/>
                  <w:rFonts w:ascii="Arial" w:hAnsi="Arial" w:cs="Arial"/>
                  <w:sz w:val="24"/>
                </w:rPr>
                <w:t xml:space="preserve"> Actuarial Services</w:t>
              </w:r>
            </w:hyperlink>
          </w:p>
          <w:p w:rsidR="00283AD6" w:rsidRPr="00606F82" w:rsidRDefault="00283AD6" w:rsidP="00590C59">
            <w:pPr>
              <w:spacing w:before="120"/>
              <w:ind w:right="252"/>
              <w:rPr>
                <w:rFonts w:cs="Arial"/>
                <w:i/>
                <w:szCs w:val="24"/>
              </w:rPr>
            </w:pPr>
          </w:p>
        </w:tc>
      </w:tr>
      <w:tr w:rsidR="00D04C6E" w:rsidRPr="00F67BB4" w:rsidTr="00590C59">
        <w:trPr>
          <w:cantSplit/>
          <w:trHeight w:val="1056"/>
        </w:trPr>
        <w:tc>
          <w:tcPr>
            <w:tcW w:w="1440" w:type="dxa"/>
          </w:tcPr>
          <w:p w:rsidR="00D04C6E" w:rsidRPr="00606F82" w:rsidRDefault="00C7525A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1:</w:t>
            </w:r>
            <w:r w:rsidR="008F3C16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0</w:t>
            </w:r>
            <w:r w:rsidR="00D04C6E" w:rsidRPr="00606F82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D04C6E" w:rsidRPr="00606F82" w:rsidRDefault="00D04C6E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D04C6E" w:rsidRPr="00606F82" w:rsidRDefault="00283AD6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D04C6E" w:rsidRPr="00606F82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D04C6E" w:rsidRPr="00606F82" w:rsidRDefault="00D04C6E" w:rsidP="00590C59">
            <w:pPr>
              <w:spacing w:before="120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>Operational Updates</w:t>
            </w:r>
          </w:p>
          <w:p w:rsidR="00D04C6E" w:rsidRPr="00606F82" w:rsidRDefault="00D04C6E" w:rsidP="00590C59">
            <w:pPr>
              <w:numPr>
                <w:ilvl w:val="0"/>
                <w:numId w:val="30"/>
              </w:numPr>
              <w:ind w:hanging="18"/>
              <w:rPr>
                <w:rFonts w:cs="Arial"/>
                <w:szCs w:val="24"/>
              </w:rPr>
            </w:pPr>
            <w:r w:rsidRPr="00606F82">
              <w:rPr>
                <w:rFonts w:cs="Arial"/>
                <w:szCs w:val="24"/>
              </w:rPr>
              <w:t xml:space="preserve">Secretary’s Report </w:t>
            </w:r>
          </w:p>
          <w:p w:rsidR="00D04C6E" w:rsidRPr="00606F82" w:rsidRDefault="00D04C6E" w:rsidP="00590C59">
            <w:pPr>
              <w:numPr>
                <w:ilvl w:val="0"/>
                <w:numId w:val="30"/>
              </w:numPr>
              <w:ind w:hanging="18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szCs w:val="24"/>
              </w:rPr>
              <w:t>Future Items for Discussion</w:t>
            </w:r>
          </w:p>
          <w:p w:rsidR="00606F82" w:rsidRPr="00606F82" w:rsidRDefault="00606F82" w:rsidP="00590C59">
            <w:pPr>
              <w:spacing w:before="120"/>
              <w:ind w:left="360"/>
              <w:rPr>
                <w:rFonts w:cs="Arial"/>
                <w:b/>
                <w:szCs w:val="24"/>
              </w:rPr>
            </w:pPr>
          </w:p>
        </w:tc>
      </w:tr>
      <w:tr w:rsidR="00CD4D02" w:rsidRPr="00F67BB4" w:rsidTr="00590C59">
        <w:trPr>
          <w:cantSplit/>
          <w:trHeight w:val="426"/>
        </w:trPr>
        <w:tc>
          <w:tcPr>
            <w:tcW w:w="1440" w:type="dxa"/>
          </w:tcPr>
          <w:p w:rsidR="00CD4D02" w:rsidRPr="006800E6" w:rsidRDefault="008F3C16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1:2</w:t>
            </w:r>
            <w:r w:rsidR="006800E6">
              <w:rPr>
                <w:rFonts w:cs="Arial"/>
                <w:szCs w:val="24"/>
              </w:rPr>
              <w:t>0</w:t>
            </w:r>
            <w:r w:rsidR="00CD4D02" w:rsidRPr="006800E6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CD4D02" w:rsidRPr="00F67BB4" w:rsidRDefault="00606F82" w:rsidP="00590C59">
            <w:pPr>
              <w:spacing w:before="120"/>
              <w:jc w:val="center"/>
              <w:rPr>
                <w:rFonts w:cs="Arial"/>
                <w:b/>
                <w:sz w:val="23"/>
                <w:szCs w:val="23"/>
              </w:rPr>
            </w:pPr>
            <w:r w:rsidRPr="00606F82">
              <w:rPr>
                <w:rFonts w:cs="Arial"/>
                <w:b/>
                <w:noProof/>
                <w:sz w:val="23"/>
                <w:szCs w:val="23"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4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CD4D02" w:rsidRDefault="00D874D5" w:rsidP="00590C59">
            <w:pPr>
              <w:spacing w:before="120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6</w:t>
            </w:r>
            <w:r w:rsidR="00CD4D02">
              <w:rPr>
                <w:rFonts w:cs="Arial"/>
                <w:sz w:val="23"/>
                <w:szCs w:val="23"/>
              </w:rPr>
              <w:t>.</w:t>
            </w:r>
            <w:r w:rsidR="008B2095">
              <w:rPr>
                <w:rFonts w:cs="Arial"/>
                <w:sz w:val="23"/>
                <w:szCs w:val="23"/>
              </w:rPr>
              <w:t>*</w:t>
            </w:r>
          </w:p>
        </w:tc>
        <w:tc>
          <w:tcPr>
            <w:tcW w:w="7110" w:type="dxa"/>
          </w:tcPr>
          <w:p w:rsidR="00CD4D02" w:rsidRPr="00606F82" w:rsidRDefault="00CD4D02" w:rsidP="00590C59">
            <w:pPr>
              <w:spacing w:before="120"/>
              <w:rPr>
                <w:rFonts w:cs="Arial"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 xml:space="preserve">Appeal </w:t>
            </w:r>
            <w:r w:rsidRPr="00606F82">
              <w:rPr>
                <w:rFonts w:cs="Arial"/>
                <w:b/>
                <w:i/>
                <w:szCs w:val="24"/>
              </w:rPr>
              <w:t xml:space="preserve"> </w:t>
            </w:r>
          </w:p>
          <w:p w:rsidR="00606F82" w:rsidRPr="00606F82" w:rsidRDefault="00606F82" w:rsidP="00590C59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4"/>
              </w:rPr>
            </w:pPr>
            <w:r w:rsidRPr="00606F82">
              <w:rPr>
                <w:rFonts w:ascii="Arial" w:hAnsi="Arial" w:cs="Arial"/>
                <w:sz w:val="24"/>
              </w:rPr>
              <w:t>Case No. 2010-020-ETF</w:t>
            </w:r>
          </w:p>
          <w:p w:rsidR="00606F82" w:rsidRPr="00606F82" w:rsidRDefault="00606F82" w:rsidP="00590C59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4"/>
              </w:rPr>
            </w:pPr>
            <w:r w:rsidRPr="00606F82">
              <w:rPr>
                <w:rFonts w:ascii="Arial" w:hAnsi="Arial" w:cs="Arial"/>
                <w:sz w:val="24"/>
              </w:rPr>
              <w:t>Case No. 2010-033-ETF</w:t>
            </w:r>
          </w:p>
          <w:p w:rsidR="00606F82" w:rsidRPr="00606F82" w:rsidRDefault="00606F82" w:rsidP="00590C59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4"/>
              </w:rPr>
            </w:pPr>
            <w:r w:rsidRPr="00606F82">
              <w:rPr>
                <w:rFonts w:ascii="Arial" w:hAnsi="Arial" w:cs="Arial"/>
                <w:sz w:val="24"/>
              </w:rPr>
              <w:t>Case No. 2010-039-ETF</w:t>
            </w:r>
          </w:p>
          <w:p w:rsidR="00606F82" w:rsidRPr="00606F82" w:rsidRDefault="00606F82" w:rsidP="00590C59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4"/>
              </w:rPr>
            </w:pPr>
            <w:r w:rsidRPr="00606F82">
              <w:rPr>
                <w:rFonts w:ascii="Arial" w:hAnsi="Arial" w:cs="Arial"/>
                <w:sz w:val="24"/>
              </w:rPr>
              <w:t>Case No. 2010-040-ETF</w:t>
            </w:r>
          </w:p>
          <w:p w:rsidR="00606F82" w:rsidRPr="00606F82" w:rsidRDefault="00606F82" w:rsidP="00590C59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4"/>
              </w:rPr>
            </w:pPr>
            <w:r w:rsidRPr="00606F82">
              <w:rPr>
                <w:rFonts w:ascii="Arial" w:hAnsi="Arial" w:cs="Arial"/>
                <w:sz w:val="24"/>
              </w:rPr>
              <w:t>Case No. 2010-003-ETF</w:t>
            </w:r>
          </w:p>
          <w:p w:rsidR="00606F82" w:rsidRPr="00606F82" w:rsidRDefault="00606F82" w:rsidP="00590C59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4"/>
              </w:rPr>
            </w:pPr>
            <w:r w:rsidRPr="00606F82">
              <w:rPr>
                <w:rFonts w:ascii="Arial" w:hAnsi="Arial" w:cs="Arial"/>
                <w:sz w:val="24"/>
              </w:rPr>
              <w:t>Case No. 2010-091-ETF</w:t>
            </w:r>
          </w:p>
          <w:p w:rsidR="00606F82" w:rsidRPr="00606F82" w:rsidRDefault="00606F82" w:rsidP="00590C59">
            <w:pPr>
              <w:spacing w:before="120"/>
              <w:rPr>
                <w:rFonts w:cs="Arial"/>
                <w:szCs w:val="24"/>
              </w:rPr>
            </w:pPr>
          </w:p>
          <w:p w:rsidR="00C7525A" w:rsidRPr="00DF6DA8" w:rsidRDefault="00C7525A" w:rsidP="00590C59">
            <w:pPr>
              <w:tabs>
                <w:tab w:val="left" w:pos="375"/>
              </w:tabs>
              <w:spacing w:before="120"/>
              <w:ind w:left="3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 w:rsidRPr="00DF6DA8">
              <w:rPr>
                <w:rFonts w:cs="Arial"/>
                <w:sz w:val="16"/>
                <w:szCs w:val="16"/>
              </w:rPr>
              <w:t>* The Board may be required to meet in closed session pursuant to the exemptions contained in Wis. Stats. § 19.85 (1) (a) for quasi-judicial deliberations.  If a closed session is held, the Board will reconvene into open session for further action on this item.</w:t>
            </w:r>
          </w:p>
          <w:p w:rsidR="008B0DD7" w:rsidRPr="00CD4D02" w:rsidRDefault="008B0DD7" w:rsidP="00590C59">
            <w:pPr>
              <w:spacing w:before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D29FA" w:rsidRPr="00606F82" w:rsidTr="00590C59">
        <w:trPr>
          <w:cantSplit/>
          <w:trHeight w:val="468"/>
        </w:trPr>
        <w:tc>
          <w:tcPr>
            <w:tcW w:w="1440" w:type="dxa"/>
          </w:tcPr>
          <w:p w:rsidR="00ED29FA" w:rsidRPr="00606F82" w:rsidRDefault="00DF163B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2:4</w:t>
            </w:r>
            <w:r w:rsidR="008F3C16">
              <w:rPr>
                <w:rFonts w:cs="Arial"/>
                <w:szCs w:val="24"/>
              </w:rPr>
              <w:t>0</w:t>
            </w:r>
            <w:r w:rsidR="00ED29FA" w:rsidRPr="00606F82">
              <w:rPr>
                <w:rFonts w:cs="Arial"/>
                <w:szCs w:val="24"/>
              </w:rPr>
              <w:t xml:space="preserve"> p.m. </w:t>
            </w:r>
          </w:p>
        </w:tc>
        <w:tc>
          <w:tcPr>
            <w:tcW w:w="540" w:type="dxa"/>
          </w:tcPr>
          <w:p w:rsidR="00ED29FA" w:rsidRPr="00606F82" w:rsidRDefault="00ED29FA" w:rsidP="00590C59">
            <w:pPr>
              <w:spacing w:before="12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ED29FA" w:rsidRPr="00606F82" w:rsidRDefault="00D874D5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ED29FA" w:rsidRPr="00606F82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8B0DD7" w:rsidRPr="00606F82" w:rsidRDefault="008B0DD7" w:rsidP="00590C59">
            <w:pPr>
              <w:pStyle w:val="Heading2"/>
              <w:keepNext w:val="0"/>
              <w:spacing w:before="120"/>
              <w:rPr>
                <w:rFonts w:cs="Arial"/>
                <w:sz w:val="24"/>
                <w:szCs w:val="24"/>
              </w:rPr>
            </w:pPr>
            <w:r w:rsidRPr="00606F82">
              <w:rPr>
                <w:rFonts w:cs="Arial"/>
                <w:sz w:val="24"/>
                <w:szCs w:val="24"/>
              </w:rPr>
              <w:t>Announcement of Action Taken on Business Deliberated During Close</w:t>
            </w:r>
            <w:r w:rsidR="00BA3720">
              <w:rPr>
                <w:rFonts w:cs="Arial"/>
                <w:sz w:val="24"/>
                <w:szCs w:val="24"/>
              </w:rPr>
              <w:t>d</w:t>
            </w:r>
            <w:r w:rsidRPr="00606F82">
              <w:rPr>
                <w:rFonts w:cs="Arial"/>
                <w:sz w:val="24"/>
                <w:szCs w:val="24"/>
              </w:rPr>
              <w:t xml:space="preserve"> Session</w:t>
            </w:r>
          </w:p>
          <w:p w:rsidR="009B5452" w:rsidRPr="00606F82" w:rsidRDefault="009B5452" w:rsidP="00590C59">
            <w:pPr>
              <w:spacing w:before="120"/>
              <w:rPr>
                <w:rFonts w:cs="Arial"/>
                <w:b/>
                <w:szCs w:val="24"/>
              </w:rPr>
            </w:pPr>
          </w:p>
        </w:tc>
      </w:tr>
      <w:tr w:rsidR="00606F82" w:rsidRPr="00606F82" w:rsidTr="00590C59">
        <w:trPr>
          <w:cantSplit/>
          <w:trHeight w:val="468"/>
        </w:trPr>
        <w:tc>
          <w:tcPr>
            <w:tcW w:w="1440" w:type="dxa"/>
          </w:tcPr>
          <w:p w:rsidR="00606F82" w:rsidRPr="00606F82" w:rsidRDefault="00DF163B" w:rsidP="00590C59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2:45</w:t>
            </w:r>
            <w:r w:rsidR="00606F82" w:rsidRPr="00606F82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606F82" w:rsidRPr="00606F82" w:rsidRDefault="00606F82" w:rsidP="00590C59">
            <w:pPr>
              <w:spacing w:before="120"/>
              <w:jc w:val="center"/>
              <w:rPr>
                <w:rFonts w:cs="Arial"/>
                <w:b/>
                <w:noProof/>
                <w:szCs w:val="24"/>
              </w:rPr>
            </w:pPr>
            <w:r w:rsidRPr="00606F82">
              <w:rPr>
                <w:rFonts w:cs="Arial"/>
                <w:b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4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606F82" w:rsidRPr="00606F82" w:rsidRDefault="00D874D5" w:rsidP="00590C59">
            <w:pPr>
              <w:spacing w:before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606F82" w:rsidRPr="00606F82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606F82" w:rsidRPr="00606F82" w:rsidRDefault="00606F82" w:rsidP="00590C59">
            <w:pPr>
              <w:spacing w:before="120"/>
              <w:rPr>
                <w:rFonts w:cs="Arial"/>
                <w:b/>
                <w:szCs w:val="24"/>
              </w:rPr>
            </w:pPr>
            <w:r w:rsidRPr="00606F82">
              <w:rPr>
                <w:rFonts w:cs="Arial"/>
                <w:b/>
                <w:szCs w:val="24"/>
              </w:rPr>
              <w:t>Adjournment</w:t>
            </w:r>
          </w:p>
          <w:p w:rsidR="00606F82" w:rsidRPr="00606F82" w:rsidRDefault="00606F82" w:rsidP="00590C59">
            <w:pPr>
              <w:pStyle w:val="Heading2"/>
              <w:keepNext w:val="0"/>
              <w:spacing w:before="120"/>
              <w:rPr>
                <w:rFonts w:cs="Arial"/>
                <w:sz w:val="24"/>
                <w:szCs w:val="24"/>
              </w:rPr>
            </w:pPr>
          </w:p>
        </w:tc>
      </w:tr>
    </w:tbl>
    <w:p w:rsidR="00590C59" w:rsidRDefault="00590C59" w:rsidP="0055769A">
      <w:pPr>
        <w:ind w:left="-288" w:firstLine="198"/>
        <w:rPr>
          <w:i/>
          <w:szCs w:val="24"/>
        </w:rPr>
      </w:pPr>
    </w:p>
    <w:p w:rsidR="00590C59" w:rsidRDefault="00590C59" w:rsidP="0055769A">
      <w:pPr>
        <w:ind w:left="-288" w:firstLine="198"/>
        <w:rPr>
          <w:i/>
          <w:szCs w:val="24"/>
        </w:rPr>
      </w:pPr>
    </w:p>
    <w:p w:rsidR="00590C59" w:rsidRDefault="00590C59" w:rsidP="0055769A">
      <w:pPr>
        <w:ind w:left="-288" w:firstLine="198"/>
        <w:rPr>
          <w:i/>
          <w:szCs w:val="24"/>
        </w:rPr>
      </w:pPr>
    </w:p>
    <w:p w:rsidR="00590C59" w:rsidRDefault="00590C59" w:rsidP="0055769A">
      <w:pPr>
        <w:ind w:left="-288" w:firstLine="198"/>
        <w:rPr>
          <w:i/>
          <w:szCs w:val="24"/>
        </w:rPr>
      </w:pPr>
    </w:p>
    <w:p w:rsidR="00590C59" w:rsidRDefault="00590C59" w:rsidP="0055769A">
      <w:pPr>
        <w:ind w:left="-288" w:firstLine="198"/>
        <w:rPr>
          <w:i/>
          <w:szCs w:val="24"/>
        </w:rPr>
      </w:pPr>
    </w:p>
    <w:p w:rsidR="00364100" w:rsidRPr="00606F82" w:rsidRDefault="00364100" w:rsidP="0055769A">
      <w:pPr>
        <w:ind w:left="-288" w:firstLine="198"/>
        <w:rPr>
          <w:i/>
          <w:szCs w:val="24"/>
        </w:rPr>
      </w:pPr>
      <w:r w:rsidRPr="00606F82">
        <w:rPr>
          <w:i/>
          <w:szCs w:val="24"/>
        </w:rPr>
        <w:t xml:space="preserve">Times shown are estimates only.  </w:t>
      </w:r>
    </w:p>
    <w:p w:rsidR="009C34F7" w:rsidRPr="00606F82" w:rsidRDefault="00364100" w:rsidP="0055769A">
      <w:pPr>
        <w:ind w:left="-288" w:firstLine="198"/>
        <w:rPr>
          <w:i/>
          <w:szCs w:val="24"/>
        </w:rPr>
      </w:pPr>
      <w:r w:rsidRPr="00606F82">
        <w:rPr>
          <w:i/>
          <w:szCs w:val="24"/>
        </w:rPr>
        <w:t xml:space="preserve">Note:  Items may be taken </w:t>
      </w:r>
      <w:r w:rsidR="00870621" w:rsidRPr="00606F82">
        <w:rPr>
          <w:i/>
          <w:szCs w:val="24"/>
        </w:rPr>
        <w:t xml:space="preserve">in </w:t>
      </w:r>
      <w:r w:rsidRPr="00606F82">
        <w:rPr>
          <w:i/>
          <w:szCs w:val="24"/>
        </w:rPr>
        <w:t xml:space="preserve">order other than listed.   </w:t>
      </w:r>
    </w:p>
    <w:p w:rsidR="0055769A" w:rsidRPr="00606F82" w:rsidRDefault="0055769A" w:rsidP="00364100">
      <w:pPr>
        <w:ind w:left="-288"/>
        <w:rPr>
          <w:i/>
          <w:szCs w:val="24"/>
        </w:rPr>
      </w:pPr>
    </w:p>
    <w:p w:rsidR="00F4628E" w:rsidRPr="00606F82" w:rsidRDefault="006671D7" w:rsidP="0055769A">
      <w:pPr>
        <w:ind w:left="-90"/>
        <w:rPr>
          <w:rFonts w:cs="Arial"/>
          <w:szCs w:val="24"/>
        </w:rPr>
      </w:pPr>
      <w:r w:rsidRPr="00606F82">
        <w:rPr>
          <w:rFonts w:cs="Arial"/>
          <w:b/>
          <w:szCs w:val="24"/>
        </w:rPr>
        <w:t>N</w:t>
      </w:r>
      <w:r w:rsidR="00F4628E" w:rsidRPr="00606F82">
        <w:rPr>
          <w:rFonts w:cs="Arial"/>
          <w:b/>
          <w:szCs w:val="24"/>
        </w:rPr>
        <w:t>OTE:</w:t>
      </w:r>
      <w:r w:rsidR="002A7769" w:rsidRPr="00606F82">
        <w:rPr>
          <w:rFonts w:cs="Arial"/>
          <w:b/>
          <w:szCs w:val="24"/>
        </w:rPr>
        <w:t xml:space="preserve">  </w:t>
      </w:r>
      <w:r w:rsidR="00F4628E" w:rsidRPr="00606F82">
        <w:rPr>
          <w:rFonts w:cs="Arial"/>
          <w:szCs w:val="24"/>
        </w:rPr>
        <w:t>A quorum of the Wisconsin Retirement (WR) Board and Teacher Retirement (TR) Board may be in attendance at the ETF Board meeting</w:t>
      </w:r>
      <w:r w:rsidR="00F13CBF" w:rsidRPr="00606F82">
        <w:rPr>
          <w:rFonts w:cs="Arial"/>
          <w:szCs w:val="24"/>
        </w:rPr>
        <w:t>.</w:t>
      </w:r>
      <w:r w:rsidR="00F4628E" w:rsidRPr="00606F82">
        <w:rPr>
          <w:rFonts w:cs="Arial"/>
          <w:szCs w:val="24"/>
        </w:rPr>
        <w:t xml:space="preserve">  The WR and TR Boards </w:t>
      </w:r>
      <w:r w:rsidRPr="00606F82">
        <w:rPr>
          <w:rFonts w:cs="Arial"/>
          <w:szCs w:val="24"/>
        </w:rPr>
        <w:t>will not be conducting business.</w:t>
      </w:r>
    </w:p>
    <w:sectPr w:rsidR="00F4628E" w:rsidRPr="00606F82" w:rsidSect="0055769A">
      <w:footerReference w:type="default" r:id="rId14"/>
      <w:pgSz w:w="12240" w:h="15840" w:code="1"/>
      <w:pgMar w:top="1152" w:right="1440" w:bottom="1152" w:left="1440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5A" w:rsidRPr="005C0585" w:rsidRDefault="00C7525A" w:rsidP="00AD50AA">
      <w:r>
        <w:separator/>
      </w:r>
    </w:p>
  </w:endnote>
  <w:endnote w:type="continuationSeparator" w:id="0">
    <w:p w:rsidR="00C7525A" w:rsidRPr="005C0585" w:rsidRDefault="00C7525A" w:rsidP="00AD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25A" w:rsidRPr="00891CC2" w:rsidRDefault="00C7525A" w:rsidP="005D38B9">
    <w:pPr>
      <w:pStyle w:val="Footer"/>
      <w:rPr>
        <w:b/>
        <w:sz w:val="16"/>
        <w:szCs w:val="16"/>
      </w:rPr>
    </w:pPr>
    <w:r w:rsidRPr="00D3112F">
      <w:rPr>
        <w:b/>
        <w:sz w:val="16"/>
        <w:szCs w:val="16"/>
      </w:rPr>
      <w:t xml:space="preserve">The meeting location is handicap accessible.  If you need other special accommodations due to a disability, please contact </w:t>
    </w:r>
    <w:r>
      <w:rPr>
        <w:b/>
        <w:sz w:val="16"/>
        <w:szCs w:val="16"/>
      </w:rPr>
      <w:t>the</w:t>
    </w:r>
    <w:r w:rsidRPr="00D3112F">
      <w:rPr>
        <w:b/>
        <w:sz w:val="16"/>
        <w:szCs w:val="16"/>
      </w:rPr>
      <w:t xml:space="preserve"> Department of Employee Trust Funds, P.O. Box 7931, Madison, WI 53707-7931.  Telephone: (608) </w:t>
    </w:r>
    <w:r>
      <w:rPr>
        <w:b/>
        <w:sz w:val="16"/>
        <w:szCs w:val="16"/>
      </w:rPr>
      <w:t>266-0301</w:t>
    </w:r>
    <w:r w:rsidRPr="00D3112F">
      <w:rPr>
        <w:b/>
        <w:sz w:val="16"/>
        <w:szCs w:val="16"/>
      </w:rPr>
      <w:t xml:space="preserve">.  Wisconsin Relay Service 7-1-1.  </w:t>
    </w:r>
  </w:p>
  <w:p w:rsidR="00C7525A" w:rsidRDefault="00C75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5A" w:rsidRPr="005C0585" w:rsidRDefault="00C7525A" w:rsidP="00AD50AA">
      <w:r>
        <w:separator/>
      </w:r>
    </w:p>
  </w:footnote>
  <w:footnote w:type="continuationSeparator" w:id="0">
    <w:p w:rsidR="00C7525A" w:rsidRPr="005C0585" w:rsidRDefault="00C7525A" w:rsidP="00AD5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 fillcolor="window">
        <v:imagedata r:id="rId1" o:title=""/>
      </v:shape>
    </w:pict>
  </w:numPicBullet>
  <w:abstractNum w:abstractNumId="0">
    <w:nsid w:val="02826AAC"/>
    <w:multiLevelType w:val="hybridMultilevel"/>
    <w:tmpl w:val="2E82796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4B1D33"/>
    <w:multiLevelType w:val="hybridMultilevel"/>
    <w:tmpl w:val="A5563C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069B"/>
    <w:multiLevelType w:val="hybridMultilevel"/>
    <w:tmpl w:val="19AA0D86"/>
    <w:lvl w:ilvl="0" w:tplc="06FAED0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39A4"/>
    <w:multiLevelType w:val="hybridMultilevel"/>
    <w:tmpl w:val="364C71C6"/>
    <w:lvl w:ilvl="0" w:tplc="65226850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84127"/>
    <w:multiLevelType w:val="hybridMultilevel"/>
    <w:tmpl w:val="06CE7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F63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7953CB"/>
    <w:multiLevelType w:val="hybridMultilevel"/>
    <w:tmpl w:val="4794544A"/>
    <w:lvl w:ilvl="0" w:tplc="D29E9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B228F"/>
    <w:multiLevelType w:val="hybridMultilevel"/>
    <w:tmpl w:val="F5E89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342CD"/>
    <w:multiLevelType w:val="hybridMultilevel"/>
    <w:tmpl w:val="F506713A"/>
    <w:lvl w:ilvl="0" w:tplc="F44A57E4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B7361"/>
    <w:multiLevelType w:val="hybridMultilevel"/>
    <w:tmpl w:val="25187C40"/>
    <w:lvl w:ilvl="0" w:tplc="15E68492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D718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2015B4"/>
    <w:multiLevelType w:val="multilevel"/>
    <w:tmpl w:val="85881C84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31F824BC"/>
    <w:multiLevelType w:val="hybridMultilevel"/>
    <w:tmpl w:val="1CA2E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B4A57"/>
    <w:multiLevelType w:val="hybridMultilevel"/>
    <w:tmpl w:val="8500C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306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EDE0307"/>
    <w:multiLevelType w:val="hybridMultilevel"/>
    <w:tmpl w:val="04B86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93A53"/>
    <w:multiLevelType w:val="multilevel"/>
    <w:tmpl w:val="C6788362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42EA4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8544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7B17B1"/>
    <w:multiLevelType w:val="singleLevel"/>
    <w:tmpl w:val="69381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D02E12"/>
    <w:multiLevelType w:val="hybridMultilevel"/>
    <w:tmpl w:val="6D6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66E6A"/>
    <w:multiLevelType w:val="singleLevel"/>
    <w:tmpl w:val="C5F27030"/>
    <w:lvl w:ilvl="0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</w:abstractNum>
  <w:abstractNum w:abstractNumId="22">
    <w:nsid w:val="52217123"/>
    <w:multiLevelType w:val="hybridMultilevel"/>
    <w:tmpl w:val="4EA0BC9E"/>
    <w:lvl w:ilvl="0" w:tplc="C36CAD5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80AE2"/>
    <w:multiLevelType w:val="singleLevel"/>
    <w:tmpl w:val="69381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5D15ED"/>
    <w:multiLevelType w:val="hybridMultilevel"/>
    <w:tmpl w:val="69E0365E"/>
    <w:lvl w:ilvl="0" w:tplc="003EBC6A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D58BA"/>
    <w:multiLevelType w:val="hybridMultilevel"/>
    <w:tmpl w:val="AE36D5A8"/>
    <w:lvl w:ilvl="0" w:tplc="456A7D4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71A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C521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B8A04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ED60CEA"/>
    <w:multiLevelType w:val="hybridMultilevel"/>
    <w:tmpl w:val="37CCEA66"/>
    <w:lvl w:ilvl="0" w:tplc="040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0">
    <w:nsid w:val="5F5C07CD"/>
    <w:multiLevelType w:val="hybridMultilevel"/>
    <w:tmpl w:val="E012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326B0"/>
    <w:multiLevelType w:val="hybridMultilevel"/>
    <w:tmpl w:val="6BB433BE"/>
    <w:lvl w:ilvl="0" w:tplc="474EDC1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63B66"/>
    <w:multiLevelType w:val="hybridMultilevel"/>
    <w:tmpl w:val="A41C5C74"/>
    <w:lvl w:ilvl="0" w:tplc="7160121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726A1464"/>
    <w:multiLevelType w:val="hybridMultilevel"/>
    <w:tmpl w:val="70E6CB4E"/>
    <w:lvl w:ilvl="0" w:tplc="109ECEEC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0262"/>
    <w:multiLevelType w:val="hybridMultilevel"/>
    <w:tmpl w:val="3760A544"/>
    <w:lvl w:ilvl="0" w:tplc="C6681E9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26"/>
  </w:num>
  <w:num w:numId="5">
    <w:abstractNumId w:val="28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23"/>
  </w:num>
  <w:num w:numId="11">
    <w:abstractNumId w:val="19"/>
  </w:num>
  <w:num w:numId="12">
    <w:abstractNumId w:val="21"/>
  </w:num>
  <w:num w:numId="13">
    <w:abstractNumId w:val="25"/>
  </w:num>
  <w:num w:numId="14">
    <w:abstractNumId w:val="16"/>
  </w:num>
  <w:num w:numId="15">
    <w:abstractNumId w:val="30"/>
  </w:num>
  <w:num w:numId="16">
    <w:abstractNumId w:val="3"/>
  </w:num>
  <w:num w:numId="17">
    <w:abstractNumId w:val="8"/>
  </w:num>
  <w:num w:numId="18">
    <w:abstractNumId w:val="22"/>
  </w:num>
  <w:num w:numId="19">
    <w:abstractNumId w:val="35"/>
  </w:num>
  <w:num w:numId="20">
    <w:abstractNumId w:val="6"/>
  </w:num>
  <w:num w:numId="21">
    <w:abstractNumId w:val="24"/>
  </w:num>
  <w:num w:numId="22">
    <w:abstractNumId w:val="2"/>
  </w:num>
  <w:num w:numId="23">
    <w:abstractNumId w:val="15"/>
  </w:num>
  <w:num w:numId="24">
    <w:abstractNumId w:val="12"/>
  </w:num>
  <w:num w:numId="25">
    <w:abstractNumId w:val="33"/>
  </w:num>
  <w:num w:numId="26">
    <w:abstractNumId w:val="4"/>
  </w:num>
  <w:num w:numId="27">
    <w:abstractNumId w:val="29"/>
  </w:num>
  <w:num w:numId="28">
    <w:abstractNumId w:val="32"/>
  </w:num>
  <w:num w:numId="29">
    <w:abstractNumId w:val="20"/>
  </w:num>
  <w:num w:numId="30">
    <w:abstractNumId w:val="34"/>
  </w:num>
  <w:num w:numId="31">
    <w:abstractNumId w:val="0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77E"/>
    <w:rsid w:val="00014FCA"/>
    <w:rsid w:val="0001588E"/>
    <w:rsid w:val="00016E40"/>
    <w:rsid w:val="000319F4"/>
    <w:rsid w:val="00032C1D"/>
    <w:rsid w:val="00044B60"/>
    <w:rsid w:val="00060B03"/>
    <w:rsid w:val="00061332"/>
    <w:rsid w:val="0006733D"/>
    <w:rsid w:val="00076F90"/>
    <w:rsid w:val="000832A8"/>
    <w:rsid w:val="000871A4"/>
    <w:rsid w:val="000902F2"/>
    <w:rsid w:val="00095E14"/>
    <w:rsid w:val="000D36EA"/>
    <w:rsid w:val="00105937"/>
    <w:rsid w:val="00111E27"/>
    <w:rsid w:val="0013631C"/>
    <w:rsid w:val="00136394"/>
    <w:rsid w:val="0014219A"/>
    <w:rsid w:val="0014346C"/>
    <w:rsid w:val="00152962"/>
    <w:rsid w:val="001B11DC"/>
    <w:rsid w:val="001C3436"/>
    <w:rsid w:val="001C5ACF"/>
    <w:rsid w:val="001C77F0"/>
    <w:rsid w:val="001F7820"/>
    <w:rsid w:val="0021047B"/>
    <w:rsid w:val="00213C15"/>
    <w:rsid w:val="00215D5F"/>
    <w:rsid w:val="00234722"/>
    <w:rsid w:val="00267026"/>
    <w:rsid w:val="0027199C"/>
    <w:rsid w:val="00275482"/>
    <w:rsid w:val="00283AD6"/>
    <w:rsid w:val="00285D2E"/>
    <w:rsid w:val="00295882"/>
    <w:rsid w:val="002A5074"/>
    <w:rsid w:val="002A7769"/>
    <w:rsid w:val="002C41B6"/>
    <w:rsid w:val="002D014F"/>
    <w:rsid w:val="002D7A5F"/>
    <w:rsid w:val="002E10B1"/>
    <w:rsid w:val="002E7398"/>
    <w:rsid w:val="002F776C"/>
    <w:rsid w:val="00323FCB"/>
    <w:rsid w:val="00364100"/>
    <w:rsid w:val="003923E2"/>
    <w:rsid w:val="003933C8"/>
    <w:rsid w:val="003B0CEE"/>
    <w:rsid w:val="003C5F5F"/>
    <w:rsid w:val="003D4292"/>
    <w:rsid w:val="004112FD"/>
    <w:rsid w:val="00447897"/>
    <w:rsid w:val="00464A2F"/>
    <w:rsid w:val="00467C12"/>
    <w:rsid w:val="004D38E8"/>
    <w:rsid w:val="004D5CD3"/>
    <w:rsid w:val="004F03EC"/>
    <w:rsid w:val="004F6174"/>
    <w:rsid w:val="005004A9"/>
    <w:rsid w:val="00506D40"/>
    <w:rsid w:val="005114A0"/>
    <w:rsid w:val="00515CFA"/>
    <w:rsid w:val="0055769A"/>
    <w:rsid w:val="00560E23"/>
    <w:rsid w:val="00563767"/>
    <w:rsid w:val="005707ED"/>
    <w:rsid w:val="00570A29"/>
    <w:rsid w:val="00590C59"/>
    <w:rsid w:val="005967A9"/>
    <w:rsid w:val="00596D0B"/>
    <w:rsid w:val="005A1EFE"/>
    <w:rsid w:val="005A5BAC"/>
    <w:rsid w:val="005D38B9"/>
    <w:rsid w:val="005F18B6"/>
    <w:rsid w:val="00605464"/>
    <w:rsid w:val="00606F82"/>
    <w:rsid w:val="006311E9"/>
    <w:rsid w:val="0063401F"/>
    <w:rsid w:val="00646684"/>
    <w:rsid w:val="00651F3D"/>
    <w:rsid w:val="00660BE5"/>
    <w:rsid w:val="006671D7"/>
    <w:rsid w:val="00671BB5"/>
    <w:rsid w:val="006800E6"/>
    <w:rsid w:val="00686CAC"/>
    <w:rsid w:val="006910FB"/>
    <w:rsid w:val="006D28BD"/>
    <w:rsid w:val="006E6B21"/>
    <w:rsid w:val="006F3A9C"/>
    <w:rsid w:val="00713AF5"/>
    <w:rsid w:val="007244E8"/>
    <w:rsid w:val="00730C1C"/>
    <w:rsid w:val="00747A19"/>
    <w:rsid w:val="0075386D"/>
    <w:rsid w:val="00767972"/>
    <w:rsid w:val="00781BBD"/>
    <w:rsid w:val="00790CCC"/>
    <w:rsid w:val="007A4FED"/>
    <w:rsid w:val="007A577E"/>
    <w:rsid w:val="007B26D6"/>
    <w:rsid w:val="007C47C3"/>
    <w:rsid w:val="007E0B53"/>
    <w:rsid w:val="007E65D7"/>
    <w:rsid w:val="007F381C"/>
    <w:rsid w:val="008041B3"/>
    <w:rsid w:val="008163CB"/>
    <w:rsid w:val="0082492D"/>
    <w:rsid w:val="008259E9"/>
    <w:rsid w:val="00831910"/>
    <w:rsid w:val="008555E5"/>
    <w:rsid w:val="00870621"/>
    <w:rsid w:val="008834B2"/>
    <w:rsid w:val="0089397D"/>
    <w:rsid w:val="008B0DD7"/>
    <w:rsid w:val="008B2095"/>
    <w:rsid w:val="008C1167"/>
    <w:rsid w:val="008F3C16"/>
    <w:rsid w:val="008F3E15"/>
    <w:rsid w:val="009150C4"/>
    <w:rsid w:val="009155F6"/>
    <w:rsid w:val="00916EC7"/>
    <w:rsid w:val="00932E46"/>
    <w:rsid w:val="00941262"/>
    <w:rsid w:val="009525BA"/>
    <w:rsid w:val="00953D3C"/>
    <w:rsid w:val="00983094"/>
    <w:rsid w:val="009A6D5B"/>
    <w:rsid w:val="009B5452"/>
    <w:rsid w:val="009C34F7"/>
    <w:rsid w:val="009E3AD6"/>
    <w:rsid w:val="009F5C8F"/>
    <w:rsid w:val="00A04D76"/>
    <w:rsid w:val="00A12489"/>
    <w:rsid w:val="00A75C92"/>
    <w:rsid w:val="00A93EB6"/>
    <w:rsid w:val="00AA290D"/>
    <w:rsid w:val="00AD50AA"/>
    <w:rsid w:val="00AF2C13"/>
    <w:rsid w:val="00B040A1"/>
    <w:rsid w:val="00B07B2D"/>
    <w:rsid w:val="00B1597D"/>
    <w:rsid w:val="00B2786F"/>
    <w:rsid w:val="00B279BE"/>
    <w:rsid w:val="00B67D03"/>
    <w:rsid w:val="00B808DF"/>
    <w:rsid w:val="00B867C6"/>
    <w:rsid w:val="00B95398"/>
    <w:rsid w:val="00B95832"/>
    <w:rsid w:val="00BA3720"/>
    <w:rsid w:val="00BD1D0B"/>
    <w:rsid w:val="00BD7550"/>
    <w:rsid w:val="00BF4F02"/>
    <w:rsid w:val="00BF61D1"/>
    <w:rsid w:val="00BF6642"/>
    <w:rsid w:val="00C10819"/>
    <w:rsid w:val="00C134A1"/>
    <w:rsid w:val="00C20E30"/>
    <w:rsid w:val="00C437C2"/>
    <w:rsid w:val="00C43AE8"/>
    <w:rsid w:val="00C7525A"/>
    <w:rsid w:val="00C8668E"/>
    <w:rsid w:val="00C92478"/>
    <w:rsid w:val="00C93748"/>
    <w:rsid w:val="00C942B2"/>
    <w:rsid w:val="00C94E43"/>
    <w:rsid w:val="00CA0E81"/>
    <w:rsid w:val="00CB18E0"/>
    <w:rsid w:val="00CB5B9F"/>
    <w:rsid w:val="00CD1213"/>
    <w:rsid w:val="00CD4D02"/>
    <w:rsid w:val="00CD6255"/>
    <w:rsid w:val="00CD7824"/>
    <w:rsid w:val="00CE14B6"/>
    <w:rsid w:val="00CE71D7"/>
    <w:rsid w:val="00D02F68"/>
    <w:rsid w:val="00D04C6E"/>
    <w:rsid w:val="00D17F34"/>
    <w:rsid w:val="00D27DA6"/>
    <w:rsid w:val="00D34A5E"/>
    <w:rsid w:val="00D460BA"/>
    <w:rsid w:val="00D54385"/>
    <w:rsid w:val="00D74145"/>
    <w:rsid w:val="00D84D2D"/>
    <w:rsid w:val="00D874D5"/>
    <w:rsid w:val="00D91CA1"/>
    <w:rsid w:val="00D946BE"/>
    <w:rsid w:val="00DA0567"/>
    <w:rsid w:val="00DB7EBD"/>
    <w:rsid w:val="00DD4255"/>
    <w:rsid w:val="00DE2635"/>
    <w:rsid w:val="00DF05C5"/>
    <w:rsid w:val="00DF163B"/>
    <w:rsid w:val="00E10A81"/>
    <w:rsid w:val="00E1414E"/>
    <w:rsid w:val="00E26DBB"/>
    <w:rsid w:val="00E27C96"/>
    <w:rsid w:val="00E708BE"/>
    <w:rsid w:val="00E745BA"/>
    <w:rsid w:val="00E75250"/>
    <w:rsid w:val="00E75C9D"/>
    <w:rsid w:val="00E76310"/>
    <w:rsid w:val="00E82DF7"/>
    <w:rsid w:val="00EB2E08"/>
    <w:rsid w:val="00ED29FA"/>
    <w:rsid w:val="00F13CBF"/>
    <w:rsid w:val="00F14203"/>
    <w:rsid w:val="00F42BA6"/>
    <w:rsid w:val="00F4628E"/>
    <w:rsid w:val="00F67BB4"/>
    <w:rsid w:val="00F71CD0"/>
    <w:rsid w:val="00F723ED"/>
    <w:rsid w:val="00FA13A8"/>
    <w:rsid w:val="00FA1686"/>
    <w:rsid w:val="00FA65AD"/>
    <w:rsid w:val="00FB513C"/>
    <w:rsid w:val="00FB6132"/>
    <w:rsid w:val="00FD0654"/>
    <w:rsid w:val="00FD66C5"/>
    <w:rsid w:val="00FF1ED9"/>
    <w:rsid w:val="00FF3B56"/>
    <w:rsid w:val="00FF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6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D02F6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02F68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D02F68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D02F68"/>
    <w:pPr>
      <w:keepNext/>
      <w:jc w:val="center"/>
      <w:outlineLvl w:val="3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D02F68"/>
    <w:pPr>
      <w:keepNext/>
      <w:tabs>
        <w:tab w:val="left" w:pos="1440"/>
        <w:tab w:val="left" w:pos="1800"/>
      </w:tabs>
      <w:ind w:left="720" w:hanging="7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2F68"/>
    <w:pPr>
      <w:jc w:val="center"/>
    </w:pPr>
    <w:rPr>
      <w:b/>
      <w:sz w:val="22"/>
    </w:rPr>
  </w:style>
  <w:style w:type="paragraph" w:styleId="Footer">
    <w:name w:val="footer"/>
    <w:basedOn w:val="Normal"/>
    <w:link w:val="FooterChar"/>
    <w:semiHidden/>
    <w:rsid w:val="00D02F6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D02F68"/>
    <w:pPr>
      <w:pBdr>
        <w:top w:val="single" w:sz="18" w:space="1" w:color="auto"/>
        <w:bottom w:val="single" w:sz="18" w:space="1" w:color="auto"/>
      </w:pBdr>
      <w:tabs>
        <w:tab w:val="left" w:pos="720"/>
        <w:tab w:val="left" w:pos="126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</w:pPr>
    <w:rPr>
      <w:b/>
      <w:sz w:val="20"/>
    </w:rPr>
  </w:style>
  <w:style w:type="paragraph" w:styleId="BodyText">
    <w:name w:val="Body Text"/>
    <w:basedOn w:val="Normal"/>
    <w:link w:val="BodyTextChar"/>
    <w:semiHidden/>
    <w:rsid w:val="00D02F68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</w:rPr>
  </w:style>
  <w:style w:type="character" w:customStyle="1" w:styleId="Heading2Char">
    <w:name w:val="Heading 2 Char"/>
    <w:basedOn w:val="DefaultParagraphFont"/>
    <w:link w:val="Heading2"/>
    <w:rsid w:val="00AD50AA"/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AD50AA"/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AD50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92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3E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63767"/>
    <w:rPr>
      <w:rFonts w:ascii="Arial" w:hAnsi="Arial"/>
      <w:b/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8F3E15"/>
    <w:rPr>
      <w:rFonts w:ascii="Arial" w:hAnsi="Arial"/>
      <w:b/>
    </w:rPr>
  </w:style>
  <w:style w:type="character" w:customStyle="1" w:styleId="character-cit1">
    <w:name w:val="character-cit1"/>
    <w:basedOn w:val="DefaultParagraphFont"/>
    <w:rsid w:val="008F3E15"/>
    <w:rPr>
      <w:color w:val="FF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03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A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5D38B9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5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D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D2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D2E"/>
    <w:rPr>
      <w:b/>
      <w:bCs/>
    </w:rPr>
  </w:style>
  <w:style w:type="paragraph" w:styleId="ListParagraph">
    <w:name w:val="List Paragraph"/>
    <w:basedOn w:val="Normal"/>
    <w:uiPriority w:val="34"/>
    <w:qFormat/>
    <w:rsid w:val="009B5452"/>
    <w:pPr>
      <w:ind w:left="720"/>
      <w:contextualSpacing/>
    </w:pPr>
    <w:rPr>
      <w:rFonts w:ascii="Tahoma" w:hAnsi="Tahoma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BD1D0B"/>
    <w:rPr>
      <w:rFonts w:ascii="Arial" w:hAnsi="Arial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61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2/etf122012/etf/item4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etf122012/etf/item4c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122012/etf/item4b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2/etf122012/etf/item4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122012/etf/item1.pdf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256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2065</CharactersWithSpaces>
  <SharedDoc>false</SharedDoc>
  <HLinks>
    <vt:vector size="6" baseType="variant"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http://etf.wi.gov/boards/board_etf.htm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McCarthy</dc:creator>
  <cp:lastModifiedBy>mullic</cp:lastModifiedBy>
  <cp:revision>8</cp:revision>
  <cp:lastPrinted>2012-10-25T14:06:00Z</cp:lastPrinted>
  <dcterms:created xsi:type="dcterms:W3CDTF">2012-11-16T21:56:00Z</dcterms:created>
  <dcterms:modified xsi:type="dcterms:W3CDTF">2012-11-29T21:30:00Z</dcterms:modified>
</cp:coreProperties>
</file>