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03C81" w14:textId="77777777" w:rsidR="00215FB1" w:rsidRPr="00F36871" w:rsidRDefault="00CF59EC" w:rsidP="00E7243F">
      <w:pPr>
        <w:pStyle w:val="Title"/>
        <w:rPr>
          <w:color w:val="auto"/>
        </w:rPr>
      </w:pPr>
      <w:r w:rsidRPr="00F36871">
        <w:rPr>
          <w:color w:val="auto"/>
          <w:sz w:val="44"/>
          <w:szCs w:val="44"/>
        </w:rPr>
        <w:t>AGENDA / NOTICE</w:t>
      </w:r>
    </w:p>
    <w:p w14:paraId="768DE1AC" w14:textId="278DCE93"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14:paraId="3C178842" w14:textId="77777777" w:rsidR="00256543" w:rsidRDefault="001C187D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 wp14:anchorId="6530047F" wp14:editId="7E295FCA">
            <wp:simplePos x="0" y="0"/>
            <wp:positionH relativeFrom="column">
              <wp:posOffset>4552950</wp:posOffset>
            </wp:positionH>
            <wp:positionV relativeFrom="paragraph">
              <wp:posOffset>170180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58F9">
        <w:rPr>
          <w:rFonts w:ascii="Arial Black" w:hAnsi="Arial Black" w:cs="Arial"/>
          <w:b/>
          <w:noProof/>
          <w:sz w:val="32"/>
          <w:szCs w:val="32"/>
        </w:rPr>
        <w:t>Employee Trust Funds</w:t>
      </w:r>
      <w:r>
        <w:rPr>
          <w:rFonts w:ascii="Arial Black" w:hAnsi="Arial Black" w:cs="Arial"/>
          <w:b/>
          <w:sz w:val="32"/>
          <w:szCs w:val="32"/>
        </w:rPr>
        <w:t xml:space="preserve"> Board</w:t>
      </w:r>
      <w:r w:rsidR="005F3D51">
        <w:rPr>
          <w:rFonts w:ascii="Arial Black" w:hAnsi="Arial Black" w:cs="Arial"/>
          <w:b/>
          <w:sz w:val="32"/>
          <w:szCs w:val="32"/>
        </w:rPr>
        <w:t xml:space="preserve"> Meeting</w:t>
      </w:r>
      <w:r w:rsidR="00256543">
        <w:rPr>
          <w:rFonts w:ascii="Arial Black" w:hAnsi="Arial Black" w:cs="Arial"/>
          <w:b/>
          <w:sz w:val="32"/>
          <w:szCs w:val="32"/>
        </w:rPr>
        <w:t xml:space="preserve"> </w:t>
      </w:r>
    </w:p>
    <w:p w14:paraId="6DD320B8" w14:textId="77777777"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14:paraId="579B1D64" w14:textId="77777777"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14:paraId="74C36A8E" w14:textId="77777777" w:rsidR="00215FB1" w:rsidRDefault="005F3D5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 xml:space="preserve">Thursday, </w:t>
      </w:r>
      <w:r w:rsidR="006A0E7D">
        <w:rPr>
          <w:rFonts w:ascii="Arial Black" w:hAnsi="Arial Black" w:cs="Arial"/>
          <w:sz w:val="24"/>
        </w:rPr>
        <w:t>June 25</w:t>
      </w:r>
      <w:r w:rsidR="006F6D50">
        <w:rPr>
          <w:rFonts w:ascii="Arial Black" w:hAnsi="Arial Black" w:cs="Arial"/>
          <w:sz w:val="24"/>
        </w:rPr>
        <w:t>, 2015</w:t>
      </w:r>
      <w:r w:rsidR="00146295">
        <w:rPr>
          <w:rFonts w:ascii="Arial Black" w:hAnsi="Arial Black" w:cs="Arial"/>
          <w:sz w:val="24"/>
        </w:rPr>
        <w:t xml:space="preserve"> </w:t>
      </w:r>
    </w:p>
    <w:p w14:paraId="07DBB2A4" w14:textId="77777777" w:rsidR="00173D22" w:rsidRPr="00A3476C" w:rsidRDefault="00173D22" w:rsidP="005B5302">
      <w:pPr>
        <w:rPr>
          <w:rFonts w:ascii="Arial" w:hAnsi="Arial" w:cs="Arial"/>
          <w:sz w:val="24"/>
        </w:rPr>
      </w:pPr>
    </w:p>
    <w:p w14:paraId="1260E42B" w14:textId="77777777"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>State Revenue Building – Events Room</w:t>
      </w:r>
    </w:p>
    <w:p w14:paraId="2A1E0E01" w14:textId="77777777" w:rsidR="005D7A5F" w:rsidRDefault="005F5899" w:rsidP="005F5899">
      <w:pPr>
        <w:rPr>
          <w:rFonts w:ascii="Arial" w:hAnsi="Arial" w:cs="Arial"/>
          <w:sz w:val="24"/>
        </w:rPr>
      </w:pPr>
      <w:r w:rsidRPr="005F5899">
        <w:rPr>
          <w:rFonts w:ascii="Arial" w:hAnsi="Arial" w:cs="Arial"/>
          <w:sz w:val="24"/>
        </w:rPr>
        <w:t>2135 Rimr</w:t>
      </w:r>
      <w:r w:rsidR="005D7A5F" w:rsidRPr="005F5899">
        <w:rPr>
          <w:rFonts w:ascii="Arial" w:hAnsi="Arial" w:cs="Arial"/>
          <w:sz w:val="24"/>
        </w:rPr>
        <w:t>ock Road, Madison, WI  53718</w:t>
      </w:r>
    </w:p>
    <w:p w14:paraId="5E0C01AC" w14:textId="11769E85" w:rsidR="007632A5" w:rsidRPr="00EA43B8" w:rsidRDefault="00EA43B8" w:rsidP="00EA43B8">
      <w:pPr>
        <w:rPr>
          <w:rFonts w:ascii="Arial" w:hAnsi="Arial" w:cs="Arial"/>
          <w:b/>
          <w:sz w:val="24"/>
        </w:rPr>
      </w:pPr>
      <w:r w:rsidRPr="00EA43B8">
        <w:rPr>
          <w:rFonts w:ascii="Arial" w:hAnsi="Arial" w:cs="Arial"/>
          <w:b/>
          <w:sz w:val="24"/>
        </w:rPr>
        <w:t>* Closed Session – Conference Room 244</w:t>
      </w:r>
    </w:p>
    <w:tbl>
      <w:tblPr>
        <w:tblW w:w="1082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65"/>
        <w:gridCol w:w="360"/>
        <w:gridCol w:w="630"/>
        <w:gridCol w:w="5400"/>
        <w:gridCol w:w="2970"/>
      </w:tblGrid>
      <w:tr w:rsidR="007632A5" w:rsidRPr="009F58F9" w14:paraId="6300F6BD" w14:textId="77777777" w:rsidTr="007632A5">
        <w:trPr>
          <w:cantSplit/>
          <w:trHeight w:hRule="exact" w:val="950"/>
          <w:tblHeader/>
        </w:trPr>
        <w:tc>
          <w:tcPr>
            <w:tcW w:w="1465" w:type="dxa"/>
          </w:tcPr>
          <w:p w14:paraId="0DA8FE00" w14:textId="77777777" w:rsidR="007632A5" w:rsidRDefault="007632A5" w:rsidP="007632A5">
            <w:pPr>
              <w:pStyle w:val="Heading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Estimated</w:t>
            </w:r>
          </w:p>
          <w:p w14:paraId="272509A9" w14:textId="77777777" w:rsidR="007632A5" w:rsidRPr="007632A5" w:rsidRDefault="007632A5" w:rsidP="007632A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Time</w:t>
            </w:r>
          </w:p>
          <w:p w14:paraId="52F0730F" w14:textId="77777777" w:rsidR="007632A5" w:rsidRPr="007632A5" w:rsidRDefault="007632A5" w:rsidP="007632A5"/>
        </w:tc>
        <w:tc>
          <w:tcPr>
            <w:tcW w:w="990" w:type="dxa"/>
            <w:gridSpan w:val="2"/>
          </w:tcPr>
          <w:p w14:paraId="6D7AD80B" w14:textId="77777777" w:rsidR="007632A5" w:rsidRPr="009F58F9" w:rsidRDefault="007632A5" w:rsidP="007632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44CB88E" wp14:editId="5E50CFEA">
                  <wp:extent cx="236220" cy="129540"/>
                  <wp:effectExtent l="0" t="0" r="0" b="0"/>
                  <wp:docPr id="5" name="Picture 5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7632A5">
              <w:rPr>
                <w:rFonts w:ascii="Arial" w:hAnsi="Arial" w:cs="Arial"/>
                <w:b/>
                <w:snapToGrid w:val="0"/>
                <w:szCs w:val="20"/>
              </w:rPr>
              <w:t>Action Item</w:t>
            </w:r>
          </w:p>
        </w:tc>
        <w:tc>
          <w:tcPr>
            <w:tcW w:w="5400" w:type="dxa"/>
          </w:tcPr>
          <w:p w14:paraId="1CBF16C8" w14:textId="77777777" w:rsidR="007632A5" w:rsidRPr="009F58F9" w:rsidRDefault="007632A5" w:rsidP="00B60FC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cs="Arial"/>
                <w:sz w:val="32"/>
                <w:szCs w:val="32"/>
              </w:rPr>
              <w:t xml:space="preserve">   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2970" w:type="dxa"/>
          </w:tcPr>
          <w:p w14:paraId="69D9C900" w14:textId="77777777" w:rsidR="007632A5" w:rsidRPr="009F58F9" w:rsidRDefault="007632A5" w:rsidP="00B60FC7">
            <w:pPr>
              <w:rPr>
                <w:rFonts w:ascii="Arial" w:hAnsi="Arial" w:cs="Arial"/>
                <w:sz w:val="24"/>
              </w:rPr>
            </w:pPr>
          </w:p>
        </w:tc>
      </w:tr>
      <w:tr w:rsidR="002B3877" w:rsidRPr="009F58F9" w14:paraId="20D22876" w14:textId="77777777" w:rsidTr="00A45F92">
        <w:trPr>
          <w:cantSplit/>
          <w:trHeight w:val="245"/>
        </w:trPr>
        <w:tc>
          <w:tcPr>
            <w:tcW w:w="1465" w:type="dxa"/>
          </w:tcPr>
          <w:p w14:paraId="3706A686" w14:textId="77777777" w:rsidR="002B3877" w:rsidRPr="009F58F9" w:rsidRDefault="000F3782" w:rsidP="004A035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2B5242">
              <w:rPr>
                <w:rFonts w:ascii="Arial" w:hAnsi="Arial" w:cs="Arial"/>
                <w:sz w:val="24"/>
              </w:rPr>
              <w:t>2</w:t>
            </w:r>
            <w:r w:rsidR="002B3877">
              <w:rPr>
                <w:rFonts w:ascii="Arial" w:hAnsi="Arial" w:cs="Arial"/>
                <w:sz w:val="24"/>
              </w:rPr>
              <w:t>:</w:t>
            </w:r>
            <w:r w:rsidR="004A0351">
              <w:rPr>
                <w:rFonts w:ascii="Arial" w:hAnsi="Arial" w:cs="Arial"/>
                <w:sz w:val="24"/>
              </w:rPr>
              <w:t>15</w:t>
            </w:r>
            <w:r w:rsidR="00033CD8">
              <w:rPr>
                <w:rFonts w:ascii="Arial" w:hAnsi="Arial" w:cs="Arial"/>
                <w:sz w:val="24"/>
              </w:rPr>
              <w:t xml:space="preserve"> </w:t>
            </w:r>
            <w:r w:rsidR="002B3877" w:rsidRPr="009F58F9">
              <w:rPr>
                <w:rFonts w:ascii="Arial" w:hAnsi="Arial" w:cs="Arial"/>
                <w:sz w:val="24"/>
              </w:rPr>
              <w:t xml:space="preserve">p.m. </w:t>
            </w:r>
          </w:p>
        </w:tc>
        <w:tc>
          <w:tcPr>
            <w:tcW w:w="360" w:type="dxa"/>
          </w:tcPr>
          <w:p w14:paraId="152F31CF" w14:textId="77777777" w:rsidR="002B3877" w:rsidRPr="009F58F9" w:rsidRDefault="002B3877" w:rsidP="002B387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0" w:type="dxa"/>
          </w:tcPr>
          <w:p w14:paraId="4E967E7B" w14:textId="77777777" w:rsidR="002B3877" w:rsidRPr="009F58F9" w:rsidRDefault="002B3877" w:rsidP="00B60F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00" w:type="dxa"/>
          </w:tcPr>
          <w:p w14:paraId="7E7F1BEE" w14:textId="77777777" w:rsidR="002B3877" w:rsidRPr="009F58F9" w:rsidRDefault="002B3877" w:rsidP="00B60FC7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14:paraId="6D5F8533" w14:textId="77777777" w:rsidR="002B3877" w:rsidRPr="009F58F9" w:rsidRDefault="002B3877" w:rsidP="00B60F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0" w:type="dxa"/>
          </w:tcPr>
          <w:p w14:paraId="0485EC98" w14:textId="77777777" w:rsidR="002B3877" w:rsidRPr="009F58F9" w:rsidRDefault="002B3877" w:rsidP="00B60FC7">
            <w:pPr>
              <w:rPr>
                <w:rFonts w:ascii="Arial" w:hAnsi="Arial" w:cs="Arial"/>
                <w:sz w:val="24"/>
              </w:rPr>
            </w:pPr>
          </w:p>
        </w:tc>
      </w:tr>
      <w:tr w:rsidR="002B3877" w:rsidRPr="009F58F9" w14:paraId="6940F742" w14:textId="77777777" w:rsidTr="00A45F92">
        <w:trPr>
          <w:cantSplit/>
          <w:trHeight w:val="362"/>
        </w:trPr>
        <w:tc>
          <w:tcPr>
            <w:tcW w:w="1465" w:type="dxa"/>
          </w:tcPr>
          <w:p w14:paraId="3966F4E9" w14:textId="77777777" w:rsidR="002B3877" w:rsidRDefault="000F3782" w:rsidP="004A035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2B5242">
              <w:rPr>
                <w:rFonts w:ascii="Arial" w:hAnsi="Arial" w:cs="Arial"/>
                <w:sz w:val="24"/>
              </w:rPr>
              <w:t>2</w:t>
            </w:r>
            <w:r w:rsidR="002B3877">
              <w:rPr>
                <w:rFonts w:ascii="Arial" w:hAnsi="Arial" w:cs="Arial"/>
                <w:sz w:val="24"/>
              </w:rPr>
              <w:t>:</w:t>
            </w:r>
            <w:r w:rsidR="004A0351">
              <w:rPr>
                <w:rFonts w:ascii="Arial" w:hAnsi="Arial" w:cs="Arial"/>
                <w:sz w:val="24"/>
              </w:rPr>
              <w:t>15</w:t>
            </w:r>
            <w:r w:rsidR="002B3877" w:rsidRPr="009F58F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360" w:type="dxa"/>
          </w:tcPr>
          <w:p w14:paraId="3DCE5168" w14:textId="77777777" w:rsidR="002B3877" w:rsidRDefault="002B3877" w:rsidP="002B3877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630" w:type="dxa"/>
          </w:tcPr>
          <w:p w14:paraId="2F15D68D" w14:textId="77777777" w:rsidR="002B3877" w:rsidRPr="009F58F9" w:rsidRDefault="002B3877" w:rsidP="00B60FC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D4523EA" wp14:editId="407FB507">
                  <wp:extent cx="205740" cy="114300"/>
                  <wp:effectExtent l="19050" t="0" r="3810" b="0"/>
                  <wp:docPr id="15" name="Picture 1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73D4BBE8" w14:textId="77777777" w:rsidR="00E730A2" w:rsidRDefault="00EB1889" w:rsidP="00E16283">
            <w:pPr>
              <w:pStyle w:val="Heading2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Consideration of </w:t>
            </w:r>
          </w:p>
          <w:p w14:paraId="4339A792" w14:textId="0CFC22DB" w:rsidR="00E730A2" w:rsidRPr="00E730A2" w:rsidRDefault="00A46EC7" w:rsidP="00E730A2">
            <w:pPr>
              <w:pStyle w:val="Heading2"/>
              <w:ind w:left="360"/>
              <w:rPr>
                <w:rFonts w:ascii="Arial" w:hAnsi="Arial" w:cs="Arial"/>
                <w:sz w:val="24"/>
              </w:rPr>
            </w:pPr>
            <w:hyperlink r:id="rId9" w:history="1">
              <w:r w:rsidR="006A0E7D" w:rsidRPr="00C21027">
                <w:rPr>
                  <w:rStyle w:val="Hyperlink"/>
                  <w:rFonts w:ascii="Arial" w:hAnsi="Arial" w:cs="Arial"/>
                  <w:sz w:val="24"/>
                </w:rPr>
                <w:t>April 2, 2015</w:t>
              </w:r>
              <w:r w:rsidR="002B3877" w:rsidRPr="00C21027">
                <w:rPr>
                  <w:rStyle w:val="Hyperlink"/>
                  <w:rFonts w:ascii="Arial" w:hAnsi="Arial" w:cs="Arial"/>
                  <w:sz w:val="24"/>
                </w:rPr>
                <w:t xml:space="preserve">, </w:t>
              </w:r>
              <w:r w:rsidR="006A0E7D" w:rsidRPr="00C21027">
                <w:rPr>
                  <w:rStyle w:val="Hyperlink"/>
                  <w:rFonts w:ascii="Arial" w:hAnsi="Arial" w:cs="Arial"/>
                  <w:sz w:val="24"/>
                </w:rPr>
                <w:t xml:space="preserve">Open </w:t>
              </w:r>
              <w:r w:rsidR="00E730A2" w:rsidRPr="00C21027">
                <w:rPr>
                  <w:rStyle w:val="Hyperlink"/>
                  <w:rFonts w:ascii="Arial" w:hAnsi="Arial" w:cs="Arial"/>
                  <w:sz w:val="24"/>
                </w:rPr>
                <w:t xml:space="preserve">Session </w:t>
              </w:r>
              <w:r w:rsidR="002B3877" w:rsidRPr="00C21027">
                <w:rPr>
                  <w:rStyle w:val="Hyperlink"/>
                  <w:rFonts w:ascii="Arial" w:hAnsi="Arial" w:cs="Arial"/>
                  <w:sz w:val="24"/>
                </w:rPr>
                <w:t>Minutes</w:t>
              </w:r>
            </w:hyperlink>
          </w:p>
          <w:p w14:paraId="15DE6249" w14:textId="77777777" w:rsidR="00E730A2" w:rsidRPr="00E730A2" w:rsidRDefault="00E730A2" w:rsidP="00E730A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</w:t>
            </w:r>
            <w:r w:rsidRPr="00E730A2">
              <w:rPr>
                <w:rFonts w:ascii="Arial" w:hAnsi="Arial" w:cs="Arial"/>
                <w:b/>
                <w:sz w:val="24"/>
              </w:rPr>
              <w:t xml:space="preserve">  April 2, 2015 Closed Session Minutes</w:t>
            </w:r>
          </w:p>
          <w:p w14:paraId="0F6D409F" w14:textId="77777777" w:rsidR="002B3877" w:rsidRPr="009F58F9" w:rsidRDefault="002B3877" w:rsidP="004F73DA">
            <w:pPr>
              <w:pStyle w:val="Heading2"/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2970" w:type="dxa"/>
          </w:tcPr>
          <w:p w14:paraId="6D54CCC8" w14:textId="77777777" w:rsidR="002B3877" w:rsidRDefault="002B3877" w:rsidP="00B60FC7">
            <w:pPr>
              <w:rPr>
                <w:rFonts w:ascii="Arial" w:hAnsi="Arial" w:cs="Arial"/>
                <w:sz w:val="24"/>
              </w:rPr>
            </w:pPr>
          </w:p>
        </w:tc>
      </w:tr>
      <w:tr w:rsidR="002B3877" w:rsidRPr="009F58F9" w14:paraId="77C8A590" w14:textId="77777777" w:rsidTr="00A45F92">
        <w:trPr>
          <w:cantSplit/>
          <w:trHeight w:val="362"/>
        </w:trPr>
        <w:tc>
          <w:tcPr>
            <w:tcW w:w="1465" w:type="dxa"/>
          </w:tcPr>
          <w:p w14:paraId="7C5AA0AD" w14:textId="77777777" w:rsidR="002B3877" w:rsidRPr="009F58F9" w:rsidRDefault="000F3782" w:rsidP="004A035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2B5242">
              <w:rPr>
                <w:rFonts w:ascii="Arial" w:hAnsi="Arial" w:cs="Arial"/>
                <w:sz w:val="24"/>
              </w:rPr>
              <w:t>2</w:t>
            </w:r>
            <w:r w:rsidR="002B3877">
              <w:rPr>
                <w:rFonts w:ascii="Arial" w:hAnsi="Arial" w:cs="Arial"/>
                <w:sz w:val="24"/>
              </w:rPr>
              <w:t>:</w:t>
            </w:r>
            <w:r w:rsidR="004A0351">
              <w:rPr>
                <w:rFonts w:ascii="Arial" w:hAnsi="Arial" w:cs="Arial"/>
                <w:sz w:val="24"/>
              </w:rPr>
              <w:t>20</w:t>
            </w:r>
            <w:r w:rsidR="002B3877" w:rsidRPr="009F58F9">
              <w:rPr>
                <w:rFonts w:ascii="Arial" w:hAnsi="Arial" w:cs="Arial"/>
                <w:sz w:val="24"/>
              </w:rPr>
              <w:t xml:space="preserve"> p.m. </w:t>
            </w:r>
          </w:p>
        </w:tc>
        <w:tc>
          <w:tcPr>
            <w:tcW w:w="360" w:type="dxa"/>
          </w:tcPr>
          <w:p w14:paraId="3BD2F6CC" w14:textId="77777777" w:rsidR="002B3877" w:rsidRPr="009F58F9" w:rsidRDefault="002B3877" w:rsidP="002B387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0" w:type="dxa"/>
          </w:tcPr>
          <w:p w14:paraId="2752C3F5" w14:textId="77777777" w:rsidR="002B3877" w:rsidRPr="009F58F9" w:rsidRDefault="002B3877" w:rsidP="00B60F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00" w:type="dxa"/>
          </w:tcPr>
          <w:p w14:paraId="2D344B4C" w14:textId="77777777" w:rsidR="00033CD8" w:rsidRDefault="002B3877" w:rsidP="00E16283">
            <w:pPr>
              <w:pStyle w:val="Heading2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Announcements</w:t>
            </w:r>
          </w:p>
          <w:p w14:paraId="4A396C6A" w14:textId="77777777" w:rsidR="002B3877" w:rsidRPr="0097050C" w:rsidRDefault="002B3877" w:rsidP="00A0419A">
            <w:pPr>
              <w:pStyle w:val="ListParagraph"/>
              <w:rPr>
                <w:rFonts w:ascii="Arial" w:hAnsi="Arial" w:cs="Arial"/>
                <w:szCs w:val="20"/>
              </w:rPr>
            </w:pPr>
          </w:p>
        </w:tc>
        <w:tc>
          <w:tcPr>
            <w:tcW w:w="2970" w:type="dxa"/>
          </w:tcPr>
          <w:p w14:paraId="1800F521" w14:textId="77777777" w:rsidR="002B3877" w:rsidRPr="009F58F9" w:rsidRDefault="002B3877" w:rsidP="00B60FC7">
            <w:pPr>
              <w:rPr>
                <w:rFonts w:ascii="Arial" w:hAnsi="Arial" w:cs="Arial"/>
                <w:sz w:val="24"/>
              </w:rPr>
            </w:pPr>
          </w:p>
        </w:tc>
      </w:tr>
      <w:tr w:rsidR="002B3877" w:rsidRPr="009F58F9" w14:paraId="2772F3DD" w14:textId="77777777" w:rsidTr="00A45F92">
        <w:trPr>
          <w:cantSplit/>
          <w:trHeight w:val="571"/>
        </w:trPr>
        <w:tc>
          <w:tcPr>
            <w:tcW w:w="1465" w:type="dxa"/>
          </w:tcPr>
          <w:p w14:paraId="67847674" w14:textId="77777777" w:rsidR="002B3877" w:rsidRPr="009F58F9" w:rsidRDefault="000F3782" w:rsidP="004A0351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74432F">
              <w:rPr>
                <w:rFonts w:ascii="Arial" w:hAnsi="Arial" w:cs="Arial"/>
                <w:sz w:val="24"/>
              </w:rPr>
              <w:t>2</w:t>
            </w:r>
            <w:r w:rsidR="002B3877">
              <w:rPr>
                <w:rFonts w:ascii="Arial" w:hAnsi="Arial" w:cs="Arial"/>
                <w:sz w:val="24"/>
              </w:rPr>
              <w:t>:</w:t>
            </w:r>
            <w:r w:rsidR="004A0351">
              <w:rPr>
                <w:rFonts w:ascii="Arial" w:hAnsi="Arial" w:cs="Arial"/>
                <w:sz w:val="24"/>
              </w:rPr>
              <w:t>25</w:t>
            </w:r>
            <w:r w:rsidR="002B3877" w:rsidRPr="009F58F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360" w:type="dxa"/>
          </w:tcPr>
          <w:p w14:paraId="5FC124C5" w14:textId="77777777" w:rsidR="002B3877" w:rsidRPr="009F58F9" w:rsidRDefault="002B3877" w:rsidP="002B3877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630" w:type="dxa"/>
          </w:tcPr>
          <w:p w14:paraId="0FAC713C" w14:textId="77777777" w:rsidR="00C76BBC" w:rsidRDefault="00C76BBC" w:rsidP="00B60FC7">
            <w:pPr>
              <w:rPr>
                <w:rFonts w:ascii="Arial" w:hAnsi="Arial" w:cs="Arial"/>
                <w:noProof/>
                <w:sz w:val="24"/>
              </w:rPr>
            </w:pPr>
          </w:p>
          <w:p w14:paraId="6580D234" w14:textId="77777777" w:rsidR="008468E3" w:rsidRPr="008468E3" w:rsidRDefault="008468E3" w:rsidP="00B60FC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1A0CF2B4" w14:textId="77777777" w:rsidR="00C76BBC" w:rsidRDefault="00C76BBC" w:rsidP="00B60FC7">
            <w:pPr>
              <w:rPr>
                <w:rFonts w:ascii="Arial" w:hAnsi="Arial" w:cs="Arial"/>
                <w:noProof/>
                <w:sz w:val="24"/>
              </w:rPr>
            </w:pPr>
          </w:p>
          <w:p w14:paraId="29DD9827" w14:textId="77777777" w:rsidR="002B3877" w:rsidRPr="009F58F9" w:rsidRDefault="002B3877" w:rsidP="00B60FC7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00" w:type="dxa"/>
          </w:tcPr>
          <w:p w14:paraId="3522C8BD" w14:textId="77777777" w:rsidR="002B3877" w:rsidRPr="009F58F9" w:rsidRDefault="002B3877" w:rsidP="00E16283">
            <w:pPr>
              <w:pStyle w:val="Heading2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Committee Reports</w:t>
            </w:r>
          </w:p>
          <w:p w14:paraId="127BD9D2" w14:textId="77777777" w:rsidR="002B3877" w:rsidRDefault="002B3877" w:rsidP="00E162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Executive Committee</w:t>
            </w:r>
          </w:p>
          <w:p w14:paraId="34601AFE" w14:textId="77777777" w:rsidR="002B3877" w:rsidRPr="00D477C5" w:rsidRDefault="002B3877" w:rsidP="00E162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Audit Committee</w:t>
            </w:r>
          </w:p>
          <w:p w14:paraId="65F8439C" w14:textId="77777777" w:rsidR="002B3877" w:rsidRDefault="002B3877" w:rsidP="00E162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D477C5">
              <w:rPr>
                <w:rFonts w:ascii="Arial" w:hAnsi="Arial" w:cs="Arial"/>
                <w:sz w:val="24"/>
              </w:rPr>
              <w:t>Budget and Operations Committee</w:t>
            </w:r>
          </w:p>
          <w:p w14:paraId="0046A080" w14:textId="77777777" w:rsidR="002B3877" w:rsidRPr="00704B6F" w:rsidRDefault="002B3877" w:rsidP="004173D9">
            <w:pPr>
              <w:pStyle w:val="ListParagraph"/>
              <w:ind w:left="1080"/>
              <w:rPr>
                <w:rFonts w:ascii="Arial" w:hAnsi="Arial" w:cs="Arial"/>
                <w:sz w:val="24"/>
              </w:rPr>
            </w:pPr>
          </w:p>
        </w:tc>
        <w:tc>
          <w:tcPr>
            <w:tcW w:w="2970" w:type="dxa"/>
          </w:tcPr>
          <w:p w14:paraId="30880666" w14:textId="77777777" w:rsidR="002B3877" w:rsidRDefault="002B3877" w:rsidP="00B60FC7">
            <w:pPr>
              <w:rPr>
                <w:rFonts w:ascii="Arial" w:hAnsi="Arial" w:cs="Arial"/>
                <w:sz w:val="24"/>
              </w:rPr>
            </w:pPr>
          </w:p>
          <w:p w14:paraId="6D6A3DDC" w14:textId="7B452AF4" w:rsidR="002B3877" w:rsidRDefault="002B3877" w:rsidP="00AE43B3">
            <w:pPr>
              <w:ind w:right="-37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4"/>
              </w:rPr>
              <w:t>Wayne Koessl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  <w:p w14:paraId="1FD4221A" w14:textId="063AA1AA" w:rsidR="002B3877" w:rsidRDefault="002B3877" w:rsidP="00AE43B3">
            <w:pPr>
              <w:ind w:right="-37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Bill Ford </w:t>
            </w:r>
          </w:p>
          <w:p w14:paraId="282CF89E" w14:textId="1258BC72" w:rsidR="002B3877" w:rsidRDefault="002B3877" w:rsidP="00B8391A">
            <w:pPr>
              <w:ind w:right="-11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Mary Von Ruden</w:t>
            </w:r>
            <w:r w:rsidR="00C76BBC">
              <w:rPr>
                <w:rFonts w:ascii="Arial" w:hAnsi="Arial" w:cs="Arial"/>
                <w:sz w:val="24"/>
              </w:rPr>
              <w:t xml:space="preserve"> </w:t>
            </w:r>
          </w:p>
          <w:p w14:paraId="604A8F93" w14:textId="77777777" w:rsidR="0097050C" w:rsidRPr="0097050C" w:rsidRDefault="0097050C" w:rsidP="00B60FC7">
            <w:pPr>
              <w:rPr>
                <w:rFonts w:ascii="Arial" w:hAnsi="Arial" w:cs="Arial"/>
                <w:szCs w:val="20"/>
              </w:rPr>
            </w:pPr>
          </w:p>
        </w:tc>
      </w:tr>
      <w:tr w:rsidR="002B3877" w:rsidRPr="009F58F9" w14:paraId="68FCD1C0" w14:textId="77777777" w:rsidTr="00290531">
        <w:trPr>
          <w:trHeight w:val="839"/>
        </w:trPr>
        <w:tc>
          <w:tcPr>
            <w:tcW w:w="1465" w:type="dxa"/>
          </w:tcPr>
          <w:p w14:paraId="000229A0" w14:textId="77777777" w:rsidR="002B3877" w:rsidRDefault="000F3782" w:rsidP="00A1647A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74432F">
              <w:rPr>
                <w:rFonts w:ascii="Arial" w:hAnsi="Arial" w:cs="Arial"/>
                <w:sz w:val="24"/>
              </w:rPr>
              <w:t>2</w:t>
            </w:r>
            <w:r w:rsidR="007A7407">
              <w:rPr>
                <w:rFonts w:ascii="Arial" w:hAnsi="Arial" w:cs="Arial"/>
                <w:sz w:val="24"/>
              </w:rPr>
              <w:t>:</w:t>
            </w:r>
            <w:r w:rsidR="004A0351">
              <w:rPr>
                <w:rFonts w:ascii="Arial" w:hAnsi="Arial" w:cs="Arial"/>
                <w:sz w:val="24"/>
              </w:rPr>
              <w:t>35</w:t>
            </w:r>
            <w:r w:rsidR="002B3877" w:rsidRPr="009F58F9">
              <w:rPr>
                <w:rFonts w:ascii="Arial" w:hAnsi="Arial" w:cs="Arial"/>
                <w:sz w:val="24"/>
              </w:rPr>
              <w:t xml:space="preserve"> p.m.</w:t>
            </w:r>
          </w:p>
          <w:p w14:paraId="67B8FC6E" w14:textId="77777777" w:rsidR="00C811F4" w:rsidRPr="000F3782" w:rsidRDefault="00C811F4" w:rsidP="00A0419A">
            <w:pPr>
              <w:rPr>
                <w:i/>
              </w:rPr>
            </w:pPr>
          </w:p>
        </w:tc>
        <w:tc>
          <w:tcPr>
            <w:tcW w:w="360" w:type="dxa"/>
          </w:tcPr>
          <w:p w14:paraId="3EB8EB17" w14:textId="77777777" w:rsidR="002B3877" w:rsidRPr="00AE43B3" w:rsidRDefault="002B3877" w:rsidP="002B3877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630" w:type="dxa"/>
          </w:tcPr>
          <w:p w14:paraId="571FB71B" w14:textId="77777777" w:rsidR="002B3877" w:rsidRDefault="002B3877" w:rsidP="00B60FC7">
            <w:pPr>
              <w:rPr>
                <w:rFonts w:ascii="Arial" w:hAnsi="Arial" w:cs="Arial"/>
                <w:noProof/>
                <w:sz w:val="24"/>
              </w:rPr>
            </w:pPr>
            <w:r w:rsidRPr="00AE43B3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7E50B265" wp14:editId="78D8B942">
                  <wp:extent cx="205740" cy="114300"/>
                  <wp:effectExtent l="19050" t="0" r="3810" b="0"/>
                  <wp:docPr id="1" name="Picture 1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C07A45" w14:textId="77777777" w:rsidR="002B3877" w:rsidRPr="009F58F9" w:rsidRDefault="002B3877" w:rsidP="00B60FC7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00" w:type="dxa"/>
          </w:tcPr>
          <w:p w14:paraId="511FA5BF" w14:textId="77777777" w:rsidR="002B3877" w:rsidRPr="009F58F9" w:rsidRDefault="002B3877" w:rsidP="00E730A2">
            <w:pPr>
              <w:pStyle w:val="Heading2"/>
              <w:numPr>
                <w:ilvl w:val="0"/>
                <w:numId w:val="1"/>
              </w:numPr>
              <w:ind w:right="155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Discussion/Consideration</w:t>
            </w:r>
          </w:p>
          <w:p w14:paraId="462673D1" w14:textId="73B5BB64" w:rsidR="00E730A2" w:rsidRDefault="00A46EC7" w:rsidP="008C185A">
            <w:pPr>
              <w:pStyle w:val="ListParagraph"/>
              <w:numPr>
                <w:ilvl w:val="2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785" w:hanging="450"/>
              <w:rPr>
                <w:rFonts w:ascii="Arial" w:hAnsi="Arial" w:cs="Arial"/>
                <w:sz w:val="24"/>
              </w:rPr>
            </w:pPr>
            <w:hyperlink r:id="rId10" w:history="1">
              <w:r w:rsidR="00E730A2" w:rsidRPr="00C21027">
                <w:rPr>
                  <w:rStyle w:val="Hyperlink"/>
                  <w:rFonts w:ascii="Arial" w:hAnsi="Arial" w:cs="Arial"/>
                  <w:sz w:val="24"/>
                </w:rPr>
                <w:t>Wisconsin Retirement System 34</w:t>
              </w:r>
              <w:r w:rsidR="00E730A2" w:rsidRPr="00C21027">
                <w:rPr>
                  <w:rStyle w:val="Hyperlink"/>
                  <w:rFonts w:ascii="Arial" w:hAnsi="Arial" w:cs="Arial"/>
                  <w:sz w:val="24"/>
                  <w:vertAlign w:val="superscript"/>
                </w:rPr>
                <w:t>th</w:t>
              </w:r>
              <w:r w:rsidR="00E730A2" w:rsidRPr="00C21027">
                <w:rPr>
                  <w:rStyle w:val="Hyperlink"/>
                  <w:rFonts w:ascii="Arial" w:hAnsi="Arial" w:cs="Arial"/>
                  <w:sz w:val="24"/>
                </w:rPr>
                <w:t xml:space="preserve">  Annual Valuation of Active Lives and Gain/Loss Analysis – December 31, 2014</w:t>
              </w:r>
            </w:hyperlink>
          </w:p>
          <w:p w14:paraId="4C35F430" w14:textId="77777777" w:rsidR="008C185A" w:rsidRDefault="008C185A" w:rsidP="008C185A">
            <w:pPr>
              <w:pStyle w:val="ListParagraph"/>
              <w:numPr>
                <w:ilvl w:val="0"/>
                <w:numId w:val="11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Contribution Rates</w:t>
            </w:r>
          </w:p>
          <w:p w14:paraId="4CE5B86B" w14:textId="77777777" w:rsidR="008C185A" w:rsidRDefault="008C185A" w:rsidP="008C185A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ind w:left="1505"/>
              <w:rPr>
                <w:rFonts w:ascii="Arial" w:hAnsi="Arial" w:cs="Arial"/>
                <w:sz w:val="24"/>
              </w:rPr>
            </w:pPr>
          </w:p>
          <w:p w14:paraId="23E0B8B0" w14:textId="23F9D24E" w:rsidR="0074432F" w:rsidRDefault="00A46EC7" w:rsidP="008C185A">
            <w:pPr>
              <w:pStyle w:val="ListParagraph"/>
              <w:numPr>
                <w:ilvl w:val="2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785" w:hanging="450"/>
              <w:rPr>
                <w:rFonts w:ascii="Arial" w:hAnsi="Arial" w:cs="Arial"/>
                <w:sz w:val="24"/>
              </w:rPr>
            </w:pPr>
            <w:hyperlink r:id="rId11" w:history="1">
              <w:r w:rsidR="0074432F" w:rsidRPr="00C21027">
                <w:rPr>
                  <w:rStyle w:val="Hyperlink"/>
                  <w:rFonts w:ascii="Arial" w:hAnsi="Arial" w:cs="Arial"/>
                  <w:sz w:val="24"/>
                </w:rPr>
                <w:t>Accumulated Sick Leave Conversion Credit Program Annual Review</w:t>
              </w:r>
            </w:hyperlink>
          </w:p>
          <w:p w14:paraId="7F1A0D47" w14:textId="77777777" w:rsidR="0074432F" w:rsidRDefault="0074432F" w:rsidP="0074432F">
            <w:pPr>
              <w:pStyle w:val="ListParagraph"/>
              <w:numPr>
                <w:ilvl w:val="0"/>
                <w:numId w:val="11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Contribution Rates</w:t>
            </w:r>
          </w:p>
          <w:p w14:paraId="257C58BA" w14:textId="77777777" w:rsidR="0074432F" w:rsidRDefault="0074432F" w:rsidP="0074432F">
            <w:pPr>
              <w:pStyle w:val="ListParagraph"/>
              <w:tabs>
                <w:tab w:val="left" w:pos="342"/>
              </w:tabs>
              <w:autoSpaceDE w:val="0"/>
              <w:autoSpaceDN w:val="0"/>
              <w:adjustRightInd w:val="0"/>
              <w:ind w:left="785"/>
              <w:rPr>
                <w:rFonts w:ascii="Arial" w:hAnsi="Arial" w:cs="Arial"/>
                <w:sz w:val="24"/>
              </w:rPr>
            </w:pPr>
          </w:p>
          <w:p w14:paraId="2E649BD5" w14:textId="6CCDEC5A" w:rsidR="0074432F" w:rsidRPr="00A46EC7" w:rsidRDefault="00A46EC7" w:rsidP="008C185A">
            <w:pPr>
              <w:pStyle w:val="ListParagraph"/>
              <w:numPr>
                <w:ilvl w:val="2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785" w:hanging="450"/>
              <w:rPr>
                <w:rStyle w:val="Hyperlink"/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/>
            </w:r>
            <w:r>
              <w:rPr>
                <w:rFonts w:ascii="Arial" w:hAnsi="Arial" w:cs="Arial"/>
                <w:sz w:val="24"/>
              </w:rPr>
              <w:instrText xml:space="preserve"> HYPERLINK "http://etf.wi.gov/boards/agenda-items-2015/etf0625/etf/item4c.pdf"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74432F" w:rsidRPr="00A46EC7">
              <w:rPr>
                <w:rStyle w:val="Hyperlink"/>
                <w:rFonts w:ascii="Arial" w:hAnsi="Arial" w:cs="Arial"/>
                <w:sz w:val="24"/>
              </w:rPr>
              <w:t>40.65 Duty Disability Actuarial Review</w:t>
            </w:r>
          </w:p>
          <w:p w14:paraId="64BB000F" w14:textId="19E0A47B" w:rsidR="0074432F" w:rsidRDefault="00A46EC7" w:rsidP="0074432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end"/>
            </w:r>
            <w:r w:rsidR="0074432F">
              <w:rPr>
                <w:rFonts w:ascii="Arial" w:hAnsi="Arial" w:cs="Arial"/>
                <w:sz w:val="24"/>
              </w:rPr>
              <w:t>Contribution Rates</w:t>
            </w:r>
          </w:p>
          <w:p w14:paraId="221EF87E" w14:textId="6AA3B058" w:rsidR="00A46EC7" w:rsidRDefault="00A46EC7" w:rsidP="00A46EC7">
            <w:pPr>
              <w:pStyle w:val="ListParagraph"/>
              <w:ind w:left="150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♦  </w:t>
            </w:r>
            <w:hyperlink r:id="rId12" w:history="1">
              <w:r w:rsidRPr="00A46EC7">
                <w:rPr>
                  <w:rStyle w:val="Hyperlink"/>
                  <w:rFonts w:ascii="Arial" w:hAnsi="Arial" w:cs="Arial"/>
                  <w:sz w:val="24"/>
                </w:rPr>
                <w:t>Report</w:t>
              </w:r>
            </w:hyperlink>
            <w:bookmarkStart w:id="0" w:name="_GoBack"/>
            <w:bookmarkEnd w:id="0"/>
          </w:p>
          <w:p w14:paraId="1761DC5A" w14:textId="77777777" w:rsidR="00A0419A" w:rsidRPr="0074432F" w:rsidRDefault="00A0419A" w:rsidP="00A0419A">
            <w:pPr>
              <w:pStyle w:val="ListParagraph"/>
              <w:ind w:left="1505"/>
              <w:rPr>
                <w:rFonts w:ascii="Arial" w:hAnsi="Arial" w:cs="Arial"/>
                <w:sz w:val="24"/>
              </w:rPr>
            </w:pPr>
          </w:p>
          <w:p w14:paraId="74FE3CCD" w14:textId="13349966" w:rsidR="008C185A" w:rsidRPr="008C185A" w:rsidRDefault="00A46EC7" w:rsidP="008C185A">
            <w:pPr>
              <w:pStyle w:val="ListParagraph"/>
              <w:numPr>
                <w:ilvl w:val="2"/>
                <w:numId w:val="1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785" w:hanging="450"/>
              <w:rPr>
                <w:rFonts w:ascii="Arial" w:hAnsi="Arial" w:cs="Arial"/>
                <w:sz w:val="24"/>
              </w:rPr>
            </w:pPr>
            <w:hyperlink r:id="rId13" w:history="1">
              <w:r w:rsidR="0074432F" w:rsidRPr="00C21027">
                <w:rPr>
                  <w:rStyle w:val="Hyperlink"/>
                  <w:rFonts w:ascii="Arial" w:hAnsi="Arial" w:cs="Arial"/>
                  <w:sz w:val="24"/>
                </w:rPr>
                <w:t xml:space="preserve">Wisconsin Retirement System </w:t>
              </w:r>
              <w:r w:rsidR="008C185A" w:rsidRPr="00C21027">
                <w:rPr>
                  <w:rStyle w:val="Hyperlink"/>
                  <w:rFonts w:ascii="Arial" w:hAnsi="Arial" w:cs="Arial"/>
                  <w:sz w:val="24"/>
                </w:rPr>
                <w:t>Dividend and Annuity Reserve Options</w:t>
              </w:r>
            </w:hyperlink>
          </w:p>
          <w:p w14:paraId="586F8041" w14:textId="77777777" w:rsidR="00C811F4" w:rsidRPr="009B472C" w:rsidRDefault="00C811F4" w:rsidP="00242AC8">
            <w:pPr>
              <w:pStyle w:val="ListParagraph"/>
              <w:ind w:left="695" w:right="155"/>
              <w:rPr>
                <w:rFonts w:ascii="Arial" w:hAnsi="Arial" w:cs="Arial"/>
                <w:sz w:val="24"/>
              </w:rPr>
            </w:pPr>
          </w:p>
        </w:tc>
        <w:tc>
          <w:tcPr>
            <w:tcW w:w="2970" w:type="dxa"/>
          </w:tcPr>
          <w:p w14:paraId="48981A26" w14:textId="77777777" w:rsidR="002B3877" w:rsidRPr="004173D9" w:rsidRDefault="002B3877" w:rsidP="00B60FC7">
            <w:pPr>
              <w:rPr>
                <w:rFonts w:ascii="Arial" w:hAnsi="Arial" w:cs="Arial"/>
                <w:sz w:val="24"/>
              </w:rPr>
            </w:pPr>
          </w:p>
          <w:p w14:paraId="0E300A29" w14:textId="7142120A" w:rsidR="00C811F4" w:rsidRDefault="00EB1889" w:rsidP="002379A9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4"/>
              </w:rPr>
              <w:t>GRS/</w:t>
            </w:r>
            <w:r w:rsidR="00242AC8">
              <w:rPr>
                <w:rFonts w:ascii="Arial" w:hAnsi="Arial" w:cs="Arial"/>
                <w:sz w:val="24"/>
              </w:rPr>
              <w:t>Jim Anderson/</w:t>
            </w:r>
            <w:r>
              <w:rPr>
                <w:rFonts w:ascii="Arial" w:hAnsi="Arial" w:cs="Arial"/>
                <w:sz w:val="24"/>
              </w:rPr>
              <w:t xml:space="preserve">Brian Murphy/Mark </w:t>
            </w:r>
            <w:proofErr w:type="spellStart"/>
            <w:r>
              <w:rPr>
                <w:rFonts w:ascii="Arial" w:hAnsi="Arial" w:cs="Arial"/>
                <w:sz w:val="24"/>
              </w:rPr>
              <w:t>Buis</w:t>
            </w:r>
            <w:proofErr w:type="spellEnd"/>
          </w:p>
          <w:p w14:paraId="64027F04" w14:textId="77777777" w:rsidR="008D06D7" w:rsidRPr="0026764B" w:rsidRDefault="008D06D7" w:rsidP="002379A9">
            <w:pPr>
              <w:rPr>
                <w:rFonts w:ascii="Arial" w:hAnsi="Arial" w:cs="Arial"/>
                <w:sz w:val="24"/>
              </w:rPr>
            </w:pPr>
          </w:p>
          <w:p w14:paraId="4ECF982A" w14:textId="77777777" w:rsidR="008D06D7" w:rsidRPr="0026764B" w:rsidRDefault="008D06D7" w:rsidP="00242AC8">
            <w:pPr>
              <w:rPr>
                <w:rFonts w:ascii="Arial" w:hAnsi="Arial" w:cs="Arial"/>
                <w:sz w:val="24"/>
              </w:rPr>
            </w:pPr>
          </w:p>
          <w:p w14:paraId="0D0D69B0" w14:textId="77777777" w:rsidR="0026764B" w:rsidRPr="0026764B" w:rsidRDefault="0026764B" w:rsidP="00242AC8">
            <w:pPr>
              <w:rPr>
                <w:rFonts w:ascii="Arial" w:hAnsi="Arial" w:cs="Arial"/>
                <w:sz w:val="24"/>
              </w:rPr>
            </w:pPr>
          </w:p>
          <w:p w14:paraId="569C4407" w14:textId="77777777" w:rsidR="0026764B" w:rsidRPr="0026764B" w:rsidRDefault="0026764B" w:rsidP="00242AC8">
            <w:pPr>
              <w:rPr>
                <w:rFonts w:ascii="Arial" w:hAnsi="Arial" w:cs="Arial"/>
                <w:sz w:val="24"/>
              </w:rPr>
            </w:pPr>
          </w:p>
          <w:p w14:paraId="43EA9822" w14:textId="0EBB056B" w:rsidR="0074432F" w:rsidRDefault="0074432F" w:rsidP="0074432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4"/>
              </w:rPr>
              <w:t xml:space="preserve">GRS/Jim Anderson/Brian Murphy/Mark </w:t>
            </w:r>
            <w:proofErr w:type="spellStart"/>
            <w:r>
              <w:rPr>
                <w:rFonts w:ascii="Arial" w:hAnsi="Arial" w:cs="Arial"/>
                <w:sz w:val="24"/>
              </w:rPr>
              <w:t>Buis</w:t>
            </w:r>
            <w:proofErr w:type="spellEnd"/>
            <w:r w:rsidRPr="002379A9">
              <w:rPr>
                <w:rFonts w:ascii="Arial" w:hAnsi="Arial" w:cs="Arial"/>
                <w:sz w:val="24"/>
              </w:rPr>
              <w:t xml:space="preserve"> </w:t>
            </w:r>
          </w:p>
          <w:p w14:paraId="19DB3728" w14:textId="77777777" w:rsidR="0074432F" w:rsidRDefault="0074432F" w:rsidP="00242AC8">
            <w:pPr>
              <w:rPr>
                <w:rFonts w:ascii="Arial" w:hAnsi="Arial" w:cs="Arial"/>
                <w:sz w:val="24"/>
              </w:rPr>
            </w:pPr>
          </w:p>
          <w:p w14:paraId="09DFB51A" w14:textId="77777777" w:rsidR="0074432F" w:rsidRDefault="0074432F" w:rsidP="00242AC8">
            <w:pPr>
              <w:rPr>
                <w:rFonts w:ascii="Arial" w:hAnsi="Arial" w:cs="Arial"/>
                <w:sz w:val="24"/>
              </w:rPr>
            </w:pPr>
          </w:p>
          <w:p w14:paraId="6633696E" w14:textId="03A2B53C" w:rsidR="0074432F" w:rsidRDefault="00EA43B8" w:rsidP="00242AC8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Milliman</w:t>
            </w:r>
            <w:proofErr w:type="spellEnd"/>
            <w:r w:rsidR="007C0004">
              <w:rPr>
                <w:rFonts w:ascii="Arial" w:hAnsi="Arial" w:cs="Arial"/>
                <w:sz w:val="24"/>
              </w:rPr>
              <w:t xml:space="preserve">/Dan </w:t>
            </w:r>
            <w:proofErr w:type="spellStart"/>
            <w:r w:rsidR="007C0004">
              <w:rPr>
                <w:rFonts w:ascii="Arial" w:hAnsi="Arial" w:cs="Arial"/>
                <w:sz w:val="24"/>
              </w:rPr>
              <w:t>Skwire</w:t>
            </w:r>
            <w:proofErr w:type="spellEnd"/>
            <w:r w:rsidR="0074432F">
              <w:rPr>
                <w:rFonts w:ascii="Arial" w:hAnsi="Arial" w:cs="Arial"/>
                <w:sz w:val="24"/>
              </w:rPr>
              <w:t xml:space="preserve"> </w:t>
            </w:r>
          </w:p>
          <w:p w14:paraId="5D6089A2" w14:textId="77777777" w:rsidR="0074432F" w:rsidRDefault="0074432F" w:rsidP="00242AC8">
            <w:pPr>
              <w:rPr>
                <w:rFonts w:ascii="Arial" w:hAnsi="Arial" w:cs="Arial"/>
                <w:sz w:val="24"/>
              </w:rPr>
            </w:pPr>
          </w:p>
          <w:p w14:paraId="204F20D2" w14:textId="77777777" w:rsidR="00A0419A" w:rsidRDefault="00A0419A" w:rsidP="00242AC8">
            <w:pPr>
              <w:rPr>
                <w:rFonts w:ascii="Arial" w:hAnsi="Arial" w:cs="Arial"/>
                <w:sz w:val="24"/>
              </w:rPr>
            </w:pPr>
          </w:p>
          <w:p w14:paraId="5B8D0289" w14:textId="16AACDA4" w:rsidR="0026764B" w:rsidRDefault="0026764B" w:rsidP="00242A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Steve Hurley</w:t>
            </w:r>
          </w:p>
          <w:p w14:paraId="4BA7372F" w14:textId="77777777" w:rsidR="0026764B" w:rsidRPr="009F58F9" w:rsidRDefault="0026764B" w:rsidP="00242AC8">
            <w:pPr>
              <w:rPr>
                <w:rFonts w:ascii="Arial" w:hAnsi="Arial" w:cs="Arial"/>
                <w:sz w:val="24"/>
              </w:rPr>
            </w:pPr>
          </w:p>
        </w:tc>
      </w:tr>
      <w:tr w:rsidR="002B3877" w:rsidRPr="009F58F9" w14:paraId="0E60DF98" w14:textId="77777777" w:rsidTr="00A45F92">
        <w:trPr>
          <w:cantSplit/>
          <w:trHeight w:val="920"/>
        </w:trPr>
        <w:tc>
          <w:tcPr>
            <w:tcW w:w="1465" w:type="dxa"/>
          </w:tcPr>
          <w:p w14:paraId="46079E1F" w14:textId="77777777" w:rsidR="002B3877" w:rsidRPr="003238DF" w:rsidRDefault="002B3877" w:rsidP="004A0351">
            <w:pPr>
              <w:pStyle w:val="Heading2"/>
              <w:ind w:right="-656"/>
              <w:rPr>
                <w:rFonts w:ascii="Arial" w:hAnsi="Arial" w:cs="Arial"/>
                <w:sz w:val="24"/>
              </w:rPr>
            </w:pPr>
            <w:r w:rsidRPr="003238DF">
              <w:rPr>
                <w:rFonts w:ascii="Arial" w:hAnsi="Arial" w:cs="Arial"/>
                <w:sz w:val="24"/>
              </w:rPr>
              <w:lastRenderedPageBreak/>
              <w:br w:type="page"/>
            </w:r>
            <w:r w:rsidR="003238DF" w:rsidRPr="003238DF">
              <w:rPr>
                <w:rFonts w:ascii="Arial" w:hAnsi="Arial" w:cs="Arial"/>
                <w:sz w:val="24"/>
              </w:rPr>
              <w:t>1</w:t>
            </w:r>
            <w:r w:rsidR="000F3782" w:rsidRPr="003238DF">
              <w:rPr>
                <w:rFonts w:ascii="Arial" w:hAnsi="Arial" w:cs="Arial"/>
                <w:sz w:val="24"/>
              </w:rPr>
              <w:t>:</w:t>
            </w:r>
            <w:r w:rsidR="004A0351">
              <w:rPr>
                <w:rFonts w:ascii="Arial" w:hAnsi="Arial" w:cs="Arial"/>
                <w:sz w:val="24"/>
              </w:rPr>
              <w:t>35</w:t>
            </w:r>
            <w:r w:rsidRPr="003238DF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360" w:type="dxa"/>
          </w:tcPr>
          <w:p w14:paraId="2D49F044" w14:textId="77777777" w:rsidR="002B3877" w:rsidRPr="009F58F9" w:rsidRDefault="002B3877" w:rsidP="002B387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0" w:type="dxa"/>
          </w:tcPr>
          <w:p w14:paraId="089334DA" w14:textId="77777777" w:rsidR="002B3877" w:rsidRPr="009F58F9" w:rsidRDefault="002B3877" w:rsidP="00014804">
            <w:pPr>
              <w:ind w:right="-656"/>
              <w:rPr>
                <w:rFonts w:ascii="Arial" w:hAnsi="Arial" w:cs="Arial"/>
                <w:sz w:val="24"/>
              </w:rPr>
            </w:pPr>
          </w:p>
        </w:tc>
        <w:tc>
          <w:tcPr>
            <w:tcW w:w="5400" w:type="dxa"/>
          </w:tcPr>
          <w:p w14:paraId="125F4200" w14:textId="77777777" w:rsidR="002B3877" w:rsidRPr="00613D1F" w:rsidRDefault="002B3877" w:rsidP="00E16283">
            <w:pPr>
              <w:pStyle w:val="ListParagraph"/>
              <w:numPr>
                <w:ilvl w:val="0"/>
                <w:numId w:val="1"/>
              </w:numPr>
              <w:ind w:right="-656"/>
              <w:rPr>
                <w:rFonts w:ascii="Arial" w:hAnsi="Arial" w:cs="Arial"/>
                <w:b/>
                <w:sz w:val="24"/>
              </w:rPr>
            </w:pPr>
            <w:r w:rsidRPr="00613D1F">
              <w:rPr>
                <w:rFonts w:ascii="Arial" w:hAnsi="Arial" w:cs="Arial"/>
                <w:b/>
                <w:sz w:val="24"/>
              </w:rPr>
              <w:t>Operational Updates</w:t>
            </w:r>
          </w:p>
          <w:p w14:paraId="6B73B351" w14:textId="77777777" w:rsidR="002B3877" w:rsidRDefault="002B3877" w:rsidP="00E16283">
            <w:pPr>
              <w:pStyle w:val="ListParagraph"/>
              <w:numPr>
                <w:ilvl w:val="0"/>
                <w:numId w:val="4"/>
              </w:numPr>
              <w:ind w:right="-25"/>
              <w:rPr>
                <w:rFonts w:ascii="Arial" w:hAnsi="Arial" w:cs="Arial"/>
                <w:sz w:val="24"/>
              </w:rPr>
            </w:pPr>
            <w:r w:rsidRPr="00A75067">
              <w:rPr>
                <w:rFonts w:ascii="Arial" w:hAnsi="Arial" w:cs="Arial"/>
                <w:sz w:val="24"/>
              </w:rPr>
              <w:t xml:space="preserve">Secretary’s Report </w:t>
            </w:r>
          </w:p>
          <w:p w14:paraId="04351723" w14:textId="53483F73" w:rsidR="008D5600" w:rsidRDefault="00A46EC7" w:rsidP="00E16283">
            <w:pPr>
              <w:pStyle w:val="ListParagraph"/>
              <w:numPr>
                <w:ilvl w:val="0"/>
                <w:numId w:val="4"/>
              </w:numPr>
              <w:ind w:right="-25"/>
              <w:rPr>
                <w:rFonts w:ascii="Arial" w:hAnsi="Arial" w:cs="Arial"/>
                <w:sz w:val="24"/>
              </w:rPr>
            </w:pPr>
            <w:hyperlink r:id="rId14" w:history="1">
              <w:r w:rsidR="00310D4D" w:rsidRPr="00C21027">
                <w:rPr>
                  <w:rStyle w:val="Hyperlink"/>
                  <w:rFonts w:ascii="Arial" w:hAnsi="Arial" w:cs="Arial"/>
                  <w:sz w:val="24"/>
                </w:rPr>
                <w:t>Biennial Budget</w:t>
              </w:r>
              <w:r w:rsidR="00E14A51" w:rsidRPr="00C21027">
                <w:rPr>
                  <w:rStyle w:val="Hyperlink"/>
                  <w:rFonts w:ascii="Arial" w:hAnsi="Arial" w:cs="Arial"/>
                  <w:sz w:val="24"/>
                </w:rPr>
                <w:t xml:space="preserve"> Update</w:t>
              </w:r>
            </w:hyperlink>
          </w:p>
          <w:p w14:paraId="03C55ECD" w14:textId="4CD3D9B0" w:rsidR="0085184A" w:rsidRDefault="00A46EC7" w:rsidP="00E16283">
            <w:pPr>
              <w:pStyle w:val="ListParagraph"/>
              <w:numPr>
                <w:ilvl w:val="0"/>
                <w:numId w:val="4"/>
              </w:numPr>
              <w:ind w:right="-25"/>
              <w:rPr>
                <w:rFonts w:ascii="Arial" w:hAnsi="Arial" w:cs="Arial"/>
                <w:sz w:val="24"/>
              </w:rPr>
            </w:pPr>
            <w:hyperlink r:id="rId15" w:history="1">
              <w:r w:rsidR="0085184A" w:rsidRPr="00C21027">
                <w:rPr>
                  <w:rStyle w:val="Hyperlink"/>
                  <w:rFonts w:ascii="Arial" w:hAnsi="Arial" w:cs="Arial"/>
                  <w:sz w:val="24"/>
                </w:rPr>
                <w:t>Federal Tax Counsel Request for Proposal Update</w:t>
              </w:r>
            </w:hyperlink>
          </w:p>
          <w:p w14:paraId="45D2A415" w14:textId="54FC12A4" w:rsidR="002B3877" w:rsidRDefault="00A46EC7" w:rsidP="00E16283">
            <w:pPr>
              <w:pStyle w:val="ListParagraph"/>
              <w:numPr>
                <w:ilvl w:val="0"/>
                <w:numId w:val="4"/>
              </w:numPr>
              <w:ind w:right="-25"/>
              <w:rPr>
                <w:rFonts w:ascii="Arial" w:hAnsi="Arial" w:cs="Arial"/>
                <w:sz w:val="24"/>
              </w:rPr>
            </w:pPr>
            <w:hyperlink r:id="rId16" w:history="1">
              <w:r w:rsidR="002B3877" w:rsidRPr="00C21027">
                <w:rPr>
                  <w:rStyle w:val="Hyperlink"/>
                  <w:rFonts w:ascii="Arial" w:hAnsi="Arial" w:cs="Arial"/>
                  <w:sz w:val="24"/>
                </w:rPr>
                <w:t>Appeals</w:t>
              </w:r>
              <w:r w:rsidR="009A67BF" w:rsidRPr="00C21027">
                <w:rPr>
                  <w:rStyle w:val="Hyperlink"/>
                  <w:rFonts w:ascii="Arial" w:hAnsi="Arial" w:cs="Arial"/>
                  <w:sz w:val="24"/>
                </w:rPr>
                <w:t xml:space="preserve"> / Legal</w:t>
              </w:r>
              <w:r w:rsidR="002B3877" w:rsidRPr="00C21027">
                <w:rPr>
                  <w:rStyle w:val="Hyperlink"/>
                  <w:rFonts w:ascii="Arial" w:hAnsi="Arial" w:cs="Arial"/>
                  <w:sz w:val="24"/>
                </w:rPr>
                <w:t xml:space="preserve"> Update</w:t>
              </w:r>
            </w:hyperlink>
          </w:p>
          <w:p w14:paraId="3CED89A7" w14:textId="77777777" w:rsidR="002B3877" w:rsidRPr="00A62F0B" w:rsidRDefault="002B3877" w:rsidP="005270C9">
            <w:pPr>
              <w:pStyle w:val="ListParagraph"/>
              <w:ind w:right="-656"/>
              <w:rPr>
                <w:rFonts w:ascii="Arial" w:hAnsi="Arial" w:cs="Arial"/>
                <w:sz w:val="24"/>
              </w:rPr>
            </w:pPr>
          </w:p>
        </w:tc>
        <w:tc>
          <w:tcPr>
            <w:tcW w:w="2970" w:type="dxa"/>
          </w:tcPr>
          <w:p w14:paraId="7FC6A534" w14:textId="77777777" w:rsidR="002B3877" w:rsidRDefault="002B3877" w:rsidP="00014804">
            <w:pPr>
              <w:ind w:right="-656"/>
              <w:rPr>
                <w:rFonts w:ascii="Arial" w:hAnsi="Arial" w:cs="Arial"/>
                <w:sz w:val="24"/>
              </w:rPr>
            </w:pPr>
          </w:p>
          <w:p w14:paraId="02BCBE6B" w14:textId="319FCCA5" w:rsidR="00237DFD" w:rsidRDefault="00237DFD" w:rsidP="00237DFD">
            <w:pPr>
              <w:ind w:right="-656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4"/>
              </w:rPr>
              <w:t xml:space="preserve">Bob Conlin </w:t>
            </w:r>
          </w:p>
          <w:p w14:paraId="7B568612" w14:textId="5A7A9508" w:rsidR="008D5600" w:rsidRDefault="008D5600" w:rsidP="005B530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Tarna Hunter</w:t>
            </w:r>
            <w:r w:rsidR="002F5112">
              <w:rPr>
                <w:rFonts w:ascii="Arial" w:hAnsi="Arial" w:cs="Arial"/>
                <w:sz w:val="24"/>
              </w:rPr>
              <w:t xml:space="preserve"> </w:t>
            </w:r>
          </w:p>
          <w:p w14:paraId="41624924" w14:textId="1C53121F" w:rsidR="0085184A" w:rsidRDefault="0085184A" w:rsidP="005B530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4"/>
              </w:rPr>
              <w:t xml:space="preserve">Mary Alice McGreevy </w:t>
            </w:r>
          </w:p>
          <w:p w14:paraId="39EAF240" w14:textId="77777777" w:rsidR="00A0419A" w:rsidRDefault="00A0419A" w:rsidP="005B5302">
            <w:pPr>
              <w:rPr>
                <w:rFonts w:ascii="Arial" w:hAnsi="Arial" w:cs="Arial"/>
                <w:sz w:val="24"/>
              </w:rPr>
            </w:pPr>
          </w:p>
          <w:p w14:paraId="729CB36E" w14:textId="055C4391" w:rsidR="002B3877" w:rsidRDefault="002B3877" w:rsidP="005B5302">
            <w:pPr>
              <w:rPr>
                <w:rFonts w:cs="Arial"/>
              </w:rPr>
            </w:pPr>
            <w:r>
              <w:rPr>
                <w:rFonts w:ascii="Arial" w:hAnsi="Arial" w:cs="Arial"/>
                <w:sz w:val="24"/>
              </w:rPr>
              <w:t xml:space="preserve">David Nispel </w:t>
            </w:r>
          </w:p>
          <w:p w14:paraId="009C7C80" w14:textId="77777777" w:rsidR="002B3877" w:rsidRPr="00AE43B3" w:rsidRDefault="002B3877" w:rsidP="005B5302">
            <w:pPr>
              <w:ind w:right="-656"/>
              <w:rPr>
                <w:rFonts w:ascii="Arial" w:hAnsi="Arial" w:cs="Arial"/>
                <w:sz w:val="24"/>
              </w:rPr>
            </w:pPr>
          </w:p>
        </w:tc>
      </w:tr>
      <w:tr w:rsidR="002B3877" w:rsidRPr="009F58F9" w14:paraId="1B0E9340" w14:textId="77777777" w:rsidTr="00A45F92">
        <w:trPr>
          <w:cantSplit/>
          <w:trHeight w:val="524"/>
        </w:trPr>
        <w:tc>
          <w:tcPr>
            <w:tcW w:w="1465" w:type="dxa"/>
          </w:tcPr>
          <w:p w14:paraId="356E7A53" w14:textId="77777777" w:rsidR="002B3877" w:rsidRPr="002D7996" w:rsidRDefault="004A0351" w:rsidP="004A0351">
            <w:pPr>
              <w:pStyle w:val="Heading2"/>
              <w:ind w:right="-65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2D7996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>50</w:t>
            </w:r>
            <w:r w:rsidR="002D7996" w:rsidRPr="002D7996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360" w:type="dxa"/>
          </w:tcPr>
          <w:p w14:paraId="6A5798A8" w14:textId="77777777" w:rsidR="002B3877" w:rsidRPr="009F58F9" w:rsidRDefault="002B3877" w:rsidP="002B387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0" w:type="dxa"/>
          </w:tcPr>
          <w:p w14:paraId="3D8846BD" w14:textId="77777777" w:rsidR="002B3877" w:rsidRPr="009F58F9" w:rsidRDefault="002B3877" w:rsidP="00014804">
            <w:pPr>
              <w:ind w:right="-656"/>
              <w:rPr>
                <w:rFonts w:ascii="Arial" w:hAnsi="Arial" w:cs="Arial"/>
                <w:sz w:val="24"/>
              </w:rPr>
            </w:pPr>
          </w:p>
        </w:tc>
        <w:tc>
          <w:tcPr>
            <w:tcW w:w="5400" w:type="dxa"/>
          </w:tcPr>
          <w:p w14:paraId="300E951B" w14:textId="77777777" w:rsidR="002B3877" w:rsidRPr="00613D1F" w:rsidRDefault="002B3877" w:rsidP="00E16283">
            <w:pPr>
              <w:pStyle w:val="ListParagraph"/>
              <w:numPr>
                <w:ilvl w:val="0"/>
                <w:numId w:val="1"/>
              </w:numPr>
              <w:ind w:right="-656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Future Items for Discussion</w:t>
            </w:r>
          </w:p>
        </w:tc>
        <w:tc>
          <w:tcPr>
            <w:tcW w:w="2970" w:type="dxa"/>
          </w:tcPr>
          <w:p w14:paraId="3A7AFB7C" w14:textId="77777777" w:rsidR="002B3877" w:rsidRDefault="002B3877" w:rsidP="002B3877">
            <w:pPr>
              <w:ind w:left="107" w:right="-4"/>
              <w:rPr>
                <w:rFonts w:ascii="Arial" w:hAnsi="Arial" w:cs="Arial"/>
                <w:sz w:val="24"/>
              </w:rPr>
            </w:pPr>
          </w:p>
        </w:tc>
      </w:tr>
      <w:tr w:rsidR="004A0351" w:rsidRPr="009F58F9" w14:paraId="32822143" w14:textId="77777777" w:rsidTr="0025413C">
        <w:trPr>
          <w:cantSplit/>
          <w:trHeight w:val="722"/>
        </w:trPr>
        <w:tc>
          <w:tcPr>
            <w:tcW w:w="1465" w:type="dxa"/>
          </w:tcPr>
          <w:p w14:paraId="1933B181" w14:textId="77777777" w:rsidR="004A0351" w:rsidRDefault="004A0351" w:rsidP="005270C9">
            <w:pPr>
              <w:pStyle w:val="Heading2"/>
              <w:ind w:right="-656"/>
              <w:rPr>
                <w:rFonts w:ascii="Arial" w:hAnsi="Arial" w:cs="Arial"/>
                <w:sz w:val="24"/>
              </w:rPr>
            </w:pPr>
          </w:p>
        </w:tc>
        <w:tc>
          <w:tcPr>
            <w:tcW w:w="9360" w:type="dxa"/>
            <w:gridSpan w:val="4"/>
          </w:tcPr>
          <w:p w14:paraId="6F2D5EA1" w14:textId="77777777" w:rsidR="004A0351" w:rsidRPr="004A0351" w:rsidRDefault="004A0351" w:rsidP="004A0351">
            <w:pPr>
              <w:pStyle w:val="ListParagraph"/>
              <w:ind w:left="108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10 Minute </w:t>
            </w:r>
            <w:r w:rsidRPr="004A0351">
              <w:rPr>
                <w:rFonts w:ascii="Arial" w:hAnsi="Arial" w:cs="Arial"/>
                <w:b/>
                <w:sz w:val="24"/>
              </w:rPr>
              <w:t xml:space="preserve">BREAK </w:t>
            </w:r>
          </w:p>
          <w:p w14:paraId="3A942C3E" w14:textId="77777777" w:rsidR="004A0351" w:rsidRPr="00770524" w:rsidRDefault="004A0351" w:rsidP="004A0351">
            <w:pPr>
              <w:rPr>
                <w:rFonts w:ascii="Arial Black" w:hAnsi="Arial Black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Closed Session will convene </w:t>
            </w:r>
            <w:r w:rsidRPr="00770524">
              <w:rPr>
                <w:rFonts w:ascii="Arial Black" w:hAnsi="Arial Black" w:cs="Arial"/>
                <w:sz w:val="24"/>
              </w:rPr>
              <w:t xml:space="preserve">State Revenue Building – </w:t>
            </w:r>
            <w:r>
              <w:rPr>
                <w:rFonts w:ascii="Arial Black" w:hAnsi="Arial Black" w:cs="Arial"/>
                <w:sz w:val="24"/>
              </w:rPr>
              <w:t xml:space="preserve">Conf. Room 244 </w:t>
            </w:r>
          </w:p>
          <w:p w14:paraId="617213C6" w14:textId="77777777" w:rsidR="004A0351" w:rsidRDefault="004A0351" w:rsidP="004A0351">
            <w:pPr>
              <w:rPr>
                <w:rFonts w:ascii="Arial" w:hAnsi="Arial" w:cs="Arial"/>
                <w:sz w:val="24"/>
              </w:rPr>
            </w:pPr>
            <w:r w:rsidRPr="00A3476C">
              <w:rPr>
                <w:rFonts w:ascii="Arial" w:hAnsi="Arial" w:cs="Arial"/>
                <w:sz w:val="24"/>
              </w:rPr>
              <w:t>2135 Rimrock Road, Madison, WI  53718</w:t>
            </w:r>
          </w:p>
          <w:p w14:paraId="706D772E" w14:textId="77777777" w:rsidR="004A0351" w:rsidRDefault="004A0351" w:rsidP="00F7441E">
            <w:pPr>
              <w:ind w:right="-656"/>
              <w:rPr>
                <w:rFonts w:ascii="Arial" w:hAnsi="Arial" w:cs="Arial"/>
                <w:sz w:val="24"/>
              </w:rPr>
            </w:pPr>
          </w:p>
        </w:tc>
      </w:tr>
      <w:tr w:rsidR="00636E02" w:rsidRPr="009F58F9" w14:paraId="1721B442" w14:textId="77777777" w:rsidTr="00A45F92">
        <w:trPr>
          <w:cantSplit/>
          <w:trHeight w:val="722"/>
        </w:trPr>
        <w:tc>
          <w:tcPr>
            <w:tcW w:w="1465" w:type="dxa"/>
          </w:tcPr>
          <w:p w14:paraId="4542E36D" w14:textId="77777777" w:rsidR="00636E02" w:rsidRDefault="00B4436B" w:rsidP="005270C9">
            <w:pPr>
              <w:pStyle w:val="Heading2"/>
              <w:ind w:right="-65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7766D1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>00</w:t>
            </w:r>
            <w:r w:rsidR="00CB5322">
              <w:rPr>
                <w:rFonts w:ascii="Arial" w:hAnsi="Arial" w:cs="Arial"/>
                <w:sz w:val="24"/>
              </w:rPr>
              <w:t xml:space="preserve"> p.m.</w:t>
            </w:r>
          </w:p>
          <w:p w14:paraId="321BAF81" w14:textId="77777777" w:rsidR="007766D1" w:rsidRPr="007766D1" w:rsidRDefault="007766D1" w:rsidP="007766D1"/>
        </w:tc>
        <w:tc>
          <w:tcPr>
            <w:tcW w:w="360" w:type="dxa"/>
          </w:tcPr>
          <w:p w14:paraId="6B28B8B5" w14:textId="77777777" w:rsidR="00636E02" w:rsidRPr="00636E02" w:rsidRDefault="00636E02" w:rsidP="00F7441E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636E02">
              <w:rPr>
                <w:rFonts w:ascii="Arial" w:hAnsi="Arial" w:cs="Arial"/>
                <w:b/>
                <w:noProof/>
                <w:sz w:val="28"/>
                <w:szCs w:val="28"/>
              </w:rPr>
              <w:t>*</w:t>
            </w:r>
          </w:p>
        </w:tc>
        <w:tc>
          <w:tcPr>
            <w:tcW w:w="630" w:type="dxa"/>
          </w:tcPr>
          <w:p w14:paraId="1442F796" w14:textId="77777777" w:rsidR="00636E02" w:rsidRPr="009F58F9" w:rsidRDefault="003E3B92" w:rsidP="00F7441E">
            <w:pPr>
              <w:ind w:right="-656"/>
              <w:rPr>
                <w:rFonts w:ascii="Arial" w:hAnsi="Arial" w:cs="Arial"/>
                <w:noProof/>
                <w:sz w:val="24"/>
              </w:rPr>
            </w:pPr>
            <w:r w:rsidRPr="009F58F9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2D4820D3" wp14:editId="431FFE44">
                  <wp:extent cx="205740" cy="114300"/>
                  <wp:effectExtent l="19050" t="0" r="3810" b="0"/>
                  <wp:docPr id="2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6820E478" w14:textId="77777777" w:rsidR="00E7591E" w:rsidRDefault="00EB1889" w:rsidP="00EB1889">
            <w:pPr>
              <w:pStyle w:val="ListParagraph"/>
              <w:numPr>
                <w:ilvl w:val="0"/>
                <w:numId w:val="1"/>
              </w:numPr>
              <w:ind w:right="-656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Appeal 201</w:t>
            </w:r>
            <w:r w:rsidR="006A0E7D">
              <w:rPr>
                <w:rFonts w:ascii="Arial" w:hAnsi="Arial" w:cs="Arial"/>
                <w:b/>
                <w:sz w:val="24"/>
              </w:rPr>
              <w:t>4</w:t>
            </w:r>
            <w:r>
              <w:rPr>
                <w:rFonts w:ascii="Arial" w:hAnsi="Arial" w:cs="Arial"/>
                <w:b/>
                <w:sz w:val="24"/>
              </w:rPr>
              <w:t>-</w:t>
            </w:r>
            <w:r w:rsidR="00471317">
              <w:rPr>
                <w:rFonts w:ascii="Arial" w:hAnsi="Arial" w:cs="Arial"/>
                <w:b/>
                <w:sz w:val="24"/>
              </w:rPr>
              <w:t>148</w:t>
            </w:r>
            <w:r>
              <w:rPr>
                <w:rFonts w:ascii="Arial" w:hAnsi="Arial" w:cs="Arial"/>
                <w:b/>
                <w:sz w:val="24"/>
              </w:rPr>
              <w:t>-ETF</w:t>
            </w:r>
          </w:p>
          <w:p w14:paraId="50E9CB86" w14:textId="77777777" w:rsidR="00E7591E" w:rsidRDefault="00E7591E" w:rsidP="00E7591E">
            <w:pPr>
              <w:pStyle w:val="ListParagraph"/>
              <w:ind w:left="360" w:right="-656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Appeal 2014-</w:t>
            </w:r>
            <w:r w:rsidR="00471317">
              <w:rPr>
                <w:rFonts w:ascii="Arial" w:hAnsi="Arial" w:cs="Arial"/>
                <w:b/>
                <w:sz w:val="24"/>
              </w:rPr>
              <w:t>14</w:t>
            </w:r>
            <w:r>
              <w:rPr>
                <w:rFonts w:ascii="Arial" w:hAnsi="Arial" w:cs="Arial"/>
                <w:b/>
                <w:sz w:val="24"/>
              </w:rPr>
              <w:t>9-ETF</w:t>
            </w:r>
          </w:p>
          <w:p w14:paraId="3431BE27" w14:textId="77777777" w:rsidR="00E7591E" w:rsidRDefault="00E7591E" w:rsidP="00E7591E">
            <w:pPr>
              <w:pStyle w:val="ListParagraph"/>
              <w:ind w:left="360" w:right="-656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Appeal 2014-1</w:t>
            </w:r>
            <w:r w:rsidR="00471317">
              <w:rPr>
                <w:rFonts w:ascii="Arial" w:hAnsi="Arial" w:cs="Arial"/>
                <w:b/>
                <w:sz w:val="24"/>
              </w:rPr>
              <w:t>50</w:t>
            </w:r>
            <w:r>
              <w:rPr>
                <w:rFonts w:ascii="Arial" w:hAnsi="Arial" w:cs="Arial"/>
                <w:b/>
                <w:sz w:val="24"/>
              </w:rPr>
              <w:t>-ETF</w:t>
            </w:r>
          </w:p>
          <w:p w14:paraId="7358BC46" w14:textId="77777777" w:rsidR="00EB1889" w:rsidRDefault="00E7591E" w:rsidP="00E7591E">
            <w:pPr>
              <w:pStyle w:val="ListParagraph"/>
              <w:ind w:left="360" w:right="-656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Appeal </w:t>
            </w:r>
            <w:r w:rsidR="00FD4381">
              <w:rPr>
                <w:rFonts w:ascii="Arial" w:hAnsi="Arial" w:cs="Arial"/>
                <w:b/>
                <w:sz w:val="24"/>
              </w:rPr>
              <w:t>2014-1</w:t>
            </w:r>
            <w:r w:rsidR="00471317">
              <w:rPr>
                <w:rFonts w:ascii="Arial" w:hAnsi="Arial" w:cs="Arial"/>
                <w:b/>
                <w:sz w:val="24"/>
              </w:rPr>
              <w:t>51</w:t>
            </w:r>
            <w:r w:rsidR="00FD4381">
              <w:rPr>
                <w:rFonts w:ascii="Arial" w:hAnsi="Arial" w:cs="Arial"/>
                <w:b/>
                <w:sz w:val="24"/>
              </w:rPr>
              <w:t>-ETF</w:t>
            </w:r>
            <w:r w:rsidR="00EB1889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2E3BCF07" w14:textId="77777777" w:rsidR="00EB1889" w:rsidRDefault="00EB1889" w:rsidP="00EB1889">
            <w:pPr>
              <w:ind w:right="-656"/>
              <w:rPr>
                <w:rFonts w:cs="Arial"/>
                <w:sz w:val="16"/>
                <w:szCs w:val="16"/>
              </w:rPr>
            </w:pPr>
          </w:p>
          <w:p w14:paraId="47821449" w14:textId="77777777" w:rsidR="00636E02" w:rsidRPr="00636E02" w:rsidRDefault="00636E02" w:rsidP="00EB1889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64511F11" w14:textId="77777777" w:rsidR="00636E02" w:rsidRDefault="00EB1889" w:rsidP="00F7441E">
            <w:pPr>
              <w:ind w:right="-65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Charlotte Gibson</w:t>
            </w:r>
          </w:p>
        </w:tc>
      </w:tr>
      <w:tr w:rsidR="006A0E7D" w:rsidRPr="009F58F9" w14:paraId="2A047578" w14:textId="77777777" w:rsidTr="00A45F92">
        <w:trPr>
          <w:cantSplit/>
          <w:trHeight w:val="722"/>
        </w:trPr>
        <w:tc>
          <w:tcPr>
            <w:tcW w:w="1465" w:type="dxa"/>
          </w:tcPr>
          <w:p w14:paraId="030CFCBB" w14:textId="77777777" w:rsidR="006A0E7D" w:rsidRDefault="003238DF" w:rsidP="005270C9">
            <w:pPr>
              <w:pStyle w:val="Heading2"/>
              <w:ind w:right="-65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</w:t>
            </w:r>
            <w:r w:rsidR="00B4436B">
              <w:rPr>
                <w:rFonts w:ascii="Arial" w:hAnsi="Arial" w:cs="Arial"/>
                <w:sz w:val="24"/>
              </w:rPr>
              <w:t>30</w:t>
            </w:r>
            <w:r>
              <w:rPr>
                <w:rFonts w:ascii="Arial" w:hAnsi="Arial" w:cs="Arial"/>
                <w:sz w:val="24"/>
              </w:rPr>
              <w:t xml:space="preserve"> p.m.</w:t>
            </w:r>
          </w:p>
          <w:p w14:paraId="2448409E" w14:textId="77777777" w:rsidR="003238DF" w:rsidRPr="003238DF" w:rsidRDefault="003238DF" w:rsidP="003238DF"/>
        </w:tc>
        <w:tc>
          <w:tcPr>
            <w:tcW w:w="360" w:type="dxa"/>
          </w:tcPr>
          <w:p w14:paraId="02E3A71A" w14:textId="77777777" w:rsidR="006A0E7D" w:rsidRPr="004C6BB3" w:rsidRDefault="004C6BB3" w:rsidP="00F7441E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*</w:t>
            </w:r>
          </w:p>
        </w:tc>
        <w:tc>
          <w:tcPr>
            <w:tcW w:w="630" w:type="dxa"/>
          </w:tcPr>
          <w:p w14:paraId="728E2F50" w14:textId="77777777" w:rsidR="006A0E7D" w:rsidRPr="009F58F9" w:rsidRDefault="00E730A2" w:rsidP="00F7441E">
            <w:pPr>
              <w:ind w:right="-656"/>
              <w:rPr>
                <w:rFonts w:ascii="Arial" w:hAnsi="Arial" w:cs="Arial"/>
                <w:noProof/>
                <w:sz w:val="24"/>
              </w:rPr>
            </w:pPr>
            <w:r w:rsidRPr="009F58F9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3D6A58B6" wp14:editId="33DA0813">
                  <wp:extent cx="205740" cy="114300"/>
                  <wp:effectExtent l="19050" t="0" r="3810" b="0"/>
                  <wp:docPr id="6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53BA09F9" w14:textId="77777777" w:rsidR="006A0E7D" w:rsidRDefault="006A0E7D" w:rsidP="006A0E7D">
            <w:pPr>
              <w:pStyle w:val="ListParagraph"/>
              <w:numPr>
                <w:ilvl w:val="0"/>
                <w:numId w:val="1"/>
              </w:numPr>
              <w:ind w:right="-656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Personnel Matters</w:t>
            </w:r>
          </w:p>
          <w:p w14:paraId="231D743E" w14:textId="77777777" w:rsidR="006A0E7D" w:rsidRPr="008D5600" w:rsidRDefault="006A0E7D" w:rsidP="006A0E7D">
            <w:pPr>
              <w:pStyle w:val="ListParagraph"/>
              <w:numPr>
                <w:ilvl w:val="2"/>
                <w:numId w:val="1"/>
              </w:numPr>
              <w:ind w:left="785" w:right="-656"/>
              <w:rPr>
                <w:rFonts w:ascii="Arial" w:hAnsi="Arial" w:cs="Arial"/>
                <w:b/>
                <w:sz w:val="24"/>
              </w:rPr>
            </w:pPr>
            <w:r w:rsidRPr="006A0E7D">
              <w:rPr>
                <w:rFonts w:ascii="Arial" w:hAnsi="Arial" w:cs="Arial"/>
                <w:sz w:val="24"/>
              </w:rPr>
              <w:t>Secretary’s Annual Evaluation</w:t>
            </w:r>
            <w:r w:rsidR="00FE4EBE">
              <w:rPr>
                <w:rFonts w:ascii="Arial" w:hAnsi="Arial" w:cs="Arial"/>
                <w:sz w:val="24"/>
              </w:rPr>
              <w:t xml:space="preserve"> and Compensation</w:t>
            </w:r>
          </w:p>
          <w:p w14:paraId="3C013FBF" w14:textId="77777777" w:rsidR="006A0E7D" w:rsidRDefault="006A0E7D" w:rsidP="00FE4EBE">
            <w:pPr>
              <w:pStyle w:val="ListParagraph"/>
              <w:ind w:left="785" w:right="-65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0" w:type="dxa"/>
          </w:tcPr>
          <w:p w14:paraId="16F75855" w14:textId="77777777" w:rsidR="006A0E7D" w:rsidRDefault="007766D1" w:rsidP="00F7441E">
            <w:pPr>
              <w:ind w:right="-65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Stacie Meyer</w:t>
            </w:r>
          </w:p>
        </w:tc>
      </w:tr>
      <w:tr w:rsidR="004A0351" w:rsidRPr="009F58F9" w14:paraId="3981843D" w14:textId="77777777" w:rsidTr="005C701E">
        <w:trPr>
          <w:cantSplit/>
          <w:trHeight w:val="722"/>
        </w:trPr>
        <w:tc>
          <w:tcPr>
            <w:tcW w:w="1465" w:type="dxa"/>
          </w:tcPr>
          <w:p w14:paraId="081B461A" w14:textId="77777777" w:rsidR="004A0351" w:rsidRDefault="004A0351" w:rsidP="005270C9">
            <w:pPr>
              <w:pStyle w:val="Heading2"/>
              <w:ind w:right="-656"/>
              <w:rPr>
                <w:rFonts w:ascii="Arial" w:hAnsi="Arial" w:cs="Arial"/>
                <w:sz w:val="24"/>
              </w:rPr>
            </w:pPr>
          </w:p>
        </w:tc>
        <w:tc>
          <w:tcPr>
            <w:tcW w:w="9360" w:type="dxa"/>
            <w:gridSpan w:val="4"/>
          </w:tcPr>
          <w:p w14:paraId="195D0E31" w14:textId="77777777" w:rsidR="004A0351" w:rsidRPr="004A0351" w:rsidRDefault="004A0351" w:rsidP="004A0351">
            <w:pPr>
              <w:pStyle w:val="ListParagraph"/>
              <w:ind w:left="108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10 Minute </w:t>
            </w:r>
            <w:r w:rsidRPr="004A0351">
              <w:rPr>
                <w:rFonts w:ascii="Arial" w:hAnsi="Arial" w:cs="Arial"/>
                <w:b/>
                <w:sz w:val="24"/>
              </w:rPr>
              <w:t xml:space="preserve">BREAK </w:t>
            </w:r>
          </w:p>
          <w:p w14:paraId="21F630DD" w14:textId="77777777" w:rsidR="004A0351" w:rsidRPr="00770524" w:rsidRDefault="004A0351" w:rsidP="004A0351">
            <w:pPr>
              <w:rPr>
                <w:rFonts w:ascii="Arial Black" w:hAnsi="Arial Black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Open Session will convene </w:t>
            </w:r>
            <w:r w:rsidRPr="00770524">
              <w:rPr>
                <w:rFonts w:ascii="Arial Black" w:hAnsi="Arial Black" w:cs="Arial"/>
                <w:sz w:val="24"/>
              </w:rPr>
              <w:t xml:space="preserve">State Revenue Building – </w:t>
            </w:r>
            <w:r>
              <w:rPr>
                <w:rFonts w:ascii="Arial Black" w:hAnsi="Arial Black" w:cs="Arial"/>
                <w:sz w:val="24"/>
              </w:rPr>
              <w:t>Events Room</w:t>
            </w:r>
          </w:p>
          <w:p w14:paraId="7CBD5790" w14:textId="77777777" w:rsidR="004A0351" w:rsidRDefault="004A0351" w:rsidP="004A0351">
            <w:pPr>
              <w:rPr>
                <w:rFonts w:ascii="Arial" w:hAnsi="Arial" w:cs="Arial"/>
                <w:sz w:val="24"/>
              </w:rPr>
            </w:pPr>
            <w:r w:rsidRPr="00A3476C">
              <w:rPr>
                <w:rFonts w:ascii="Arial" w:hAnsi="Arial" w:cs="Arial"/>
                <w:sz w:val="24"/>
              </w:rPr>
              <w:t>2135 Rimrock Road, Madison, WI  53718</w:t>
            </w:r>
          </w:p>
          <w:p w14:paraId="06D521E2" w14:textId="77777777" w:rsidR="004A0351" w:rsidRDefault="004A0351" w:rsidP="00F7441E">
            <w:pPr>
              <w:ind w:right="-656"/>
              <w:rPr>
                <w:rFonts w:ascii="Arial" w:hAnsi="Arial" w:cs="Arial"/>
                <w:sz w:val="24"/>
              </w:rPr>
            </w:pPr>
          </w:p>
        </w:tc>
      </w:tr>
      <w:tr w:rsidR="003E3B92" w:rsidRPr="009F58F9" w14:paraId="1AB5F491" w14:textId="77777777" w:rsidTr="00A45F92">
        <w:trPr>
          <w:cantSplit/>
          <w:trHeight w:val="722"/>
        </w:trPr>
        <w:tc>
          <w:tcPr>
            <w:tcW w:w="1465" w:type="dxa"/>
          </w:tcPr>
          <w:p w14:paraId="38BAE749" w14:textId="77777777" w:rsidR="003E3B92" w:rsidRDefault="003238DF" w:rsidP="005270C9">
            <w:pPr>
              <w:pStyle w:val="Heading2"/>
              <w:ind w:right="-65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="002D7996">
              <w:rPr>
                <w:rFonts w:ascii="Arial" w:hAnsi="Arial" w:cs="Arial"/>
                <w:sz w:val="24"/>
              </w:rPr>
              <w:t>:25</w:t>
            </w:r>
            <w:r w:rsidR="00CB5322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360" w:type="dxa"/>
          </w:tcPr>
          <w:p w14:paraId="7547AE2A" w14:textId="77777777" w:rsidR="003E3B92" w:rsidRPr="009F58F9" w:rsidRDefault="003E3B92" w:rsidP="00F7441E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630" w:type="dxa"/>
          </w:tcPr>
          <w:p w14:paraId="59F16882" w14:textId="77777777" w:rsidR="003E3B92" w:rsidRPr="009F58F9" w:rsidRDefault="003E3B92" w:rsidP="00F7441E">
            <w:pPr>
              <w:ind w:right="-656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00" w:type="dxa"/>
          </w:tcPr>
          <w:p w14:paraId="1D4328C2" w14:textId="77777777" w:rsidR="003E3B92" w:rsidRDefault="003E3B92" w:rsidP="00F40FA3">
            <w:pPr>
              <w:pStyle w:val="ListParagraph"/>
              <w:numPr>
                <w:ilvl w:val="0"/>
                <w:numId w:val="1"/>
              </w:numPr>
              <w:ind w:right="65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Announcement of Action Taken on Business</w:t>
            </w:r>
            <w:r w:rsidR="00F40FA3">
              <w:rPr>
                <w:rFonts w:ascii="Arial" w:hAnsi="Arial" w:cs="Arial"/>
                <w:b/>
                <w:sz w:val="24"/>
              </w:rPr>
              <w:t xml:space="preserve"> Deliberated During Closed Session</w:t>
            </w:r>
          </w:p>
          <w:p w14:paraId="347F52AC" w14:textId="77777777" w:rsidR="00CB5322" w:rsidRDefault="00CB5322" w:rsidP="00CB5322">
            <w:pPr>
              <w:pStyle w:val="ListParagraph"/>
              <w:ind w:left="360" w:right="65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0" w:type="dxa"/>
          </w:tcPr>
          <w:p w14:paraId="1393732B" w14:textId="77777777" w:rsidR="003E3B92" w:rsidRDefault="003E3B92" w:rsidP="00F7441E">
            <w:pPr>
              <w:ind w:right="-656"/>
              <w:rPr>
                <w:rFonts w:ascii="Arial" w:hAnsi="Arial" w:cs="Arial"/>
                <w:sz w:val="24"/>
              </w:rPr>
            </w:pPr>
          </w:p>
        </w:tc>
      </w:tr>
      <w:tr w:rsidR="00F7441E" w:rsidRPr="009F58F9" w14:paraId="6ED7A207" w14:textId="77777777" w:rsidTr="00290531">
        <w:trPr>
          <w:cantSplit/>
          <w:trHeight w:val="452"/>
        </w:trPr>
        <w:tc>
          <w:tcPr>
            <w:tcW w:w="1465" w:type="dxa"/>
          </w:tcPr>
          <w:p w14:paraId="51741E24" w14:textId="77777777" w:rsidR="00F7441E" w:rsidRDefault="003238DF" w:rsidP="005270C9">
            <w:pPr>
              <w:pStyle w:val="Heading2"/>
              <w:ind w:right="-65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="00F7441E">
              <w:rPr>
                <w:rFonts w:ascii="Arial" w:hAnsi="Arial" w:cs="Arial"/>
                <w:sz w:val="24"/>
              </w:rPr>
              <w:t>:</w:t>
            </w:r>
            <w:r w:rsidR="00237DFD">
              <w:rPr>
                <w:rFonts w:ascii="Arial" w:hAnsi="Arial" w:cs="Arial"/>
                <w:sz w:val="24"/>
              </w:rPr>
              <w:t>30</w:t>
            </w:r>
            <w:r w:rsidR="00F7441E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360" w:type="dxa"/>
          </w:tcPr>
          <w:p w14:paraId="6EB51F25" w14:textId="77777777" w:rsidR="00F7441E" w:rsidRPr="009F58F9" w:rsidRDefault="00F7441E" w:rsidP="00F7441E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630" w:type="dxa"/>
          </w:tcPr>
          <w:p w14:paraId="3578C701" w14:textId="77777777" w:rsidR="00F7441E" w:rsidRPr="00014804" w:rsidRDefault="00F7441E" w:rsidP="00F7441E">
            <w:pPr>
              <w:ind w:right="-656"/>
              <w:rPr>
                <w:rFonts w:ascii="Arial" w:hAnsi="Arial" w:cs="Arial"/>
                <w:b/>
                <w:noProof/>
                <w:sz w:val="24"/>
                <w:lang w:eastAsia="zh-TW"/>
              </w:rPr>
            </w:pPr>
            <w:r w:rsidRPr="009F58F9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E747F18" wp14:editId="663C8C6A">
                  <wp:extent cx="205740" cy="114300"/>
                  <wp:effectExtent l="19050" t="0" r="3810" b="0"/>
                  <wp:docPr id="7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75772EE0" w14:textId="77777777" w:rsidR="00F7441E" w:rsidRDefault="00F7441E" w:rsidP="00E16283">
            <w:pPr>
              <w:pStyle w:val="ListParagraph"/>
              <w:numPr>
                <w:ilvl w:val="0"/>
                <w:numId w:val="1"/>
              </w:numPr>
              <w:ind w:right="-656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Adjournment</w:t>
            </w:r>
          </w:p>
        </w:tc>
        <w:tc>
          <w:tcPr>
            <w:tcW w:w="2970" w:type="dxa"/>
          </w:tcPr>
          <w:p w14:paraId="784E4C72" w14:textId="77777777" w:rsidR="00F7441E" w:rsidRDefault="00F7441E" w:rsidP="00F7441E">
            <w:pPr>
              <w:ind w:right="-656"/>
              <w:rPr>
                <w:rFonts w:ascii="Arial" w:hAnsi="Arial" w:cs="Arial"/>
                <w:sz w:val="24"/>
              </w:rPr>
            </w:pPr>
          </w:p>
        </w:tc>
      </w:tr>
    </w:tbl>
    <w:p w14:paraId="616FE70B" w14:textId="77777777" w:rsidR="00215FB1" w:rsidRPr="00FA00BB" w:rsidRDefault="00215FB1">
      <w:pPr>
        <w:rPr>
          <w:rFonts w:ascii="Arial" w:hAnsi="Arial" w:cs="Arial"/>
        </w:rPr>
      </w:pPr>
    </w:p>
    <w:p w14:paraId="1CFF7E9E" w14:textId="77777777" w:rsidR="00D12883" w:rsidRDefault="00D12883" w:rsidP="00D12883">
      <w:pPr>
        <w:ind w:left="-288" w:firstLine="198"/>
        <w:rPr>
          <w:i/>
        </w:rPr>
      </w:pPr>
      <w:r w:rsidRPr="00606F82">
        <w:rPr>
          <w:i/>
        </w:rPr>
        <w:t xml:space="preserve">Note:  Items may be taken in order other than listed.   </w:t>
      </w:r>
    </w:p>
    <w:p w14:paraId="10A94346" w14:textId="77777777" w:rsidR="007632A5" w:rsidRPr="00606F82" w:rsidRDefault="007632A5" w:rsidP="00D12883">
      <w:pPr>
        <w:ind w:left="-288" w:firstLine="198"/>
        <w:rPr>
          <w:i/>
        </w:rPr>
      </w:pPr>
    </w:p>
    <w:p w14:paraId="4886A008" w14:textId="77777777" w:rsidR="004C6BB3" w:rsidRPr="00290531" w:rsidRDefault="004C6BB3" w:rsidP="004C6BB3">
      <w:pPr>
        <w:rPr>
          <w:rFonts w:ascii="Arial" w:hAnsi="Arial" w:cs="Arial"/>
          <w:b/>
          <w:sz w:val="22"/>
          <w:szCs w:val="22"/>
        </w:rPr>
      </w:pPr>
      <w:r w:rsidRPr="00290531">
        <w:rPr>
          <w:rFonts w:ascii="Arial" w:hAnsi="Arial" w:cs="Arial"/>
          <w:b/>
          <w:sz w:val="22"/>
          <w:szCs w:val="22"/>
        </w:rPr>
        <w:t xml:space="preserve">* </w:t>
      </w:r>
      <w:r w:rsidRPr="00290531">
        <w:rPr>
          <w:rFonts w:ascii="Arial" w:hAnsi="Arial" w:cs="Arial"/>
          <w:sz w:val="22"/>
          <w:szCs w:val="22"/>
        </w:rPr>
        <w:t xml:space="preserve">The Board may be required to meet in closed session pursuant to the exemptions contained in Wis. Stats. § 19.85 (1) (a) and (c) for quasi-judicial deliberations and to </w:t>
      </w:r>
      <w:r w:rsidRPr="00290531">
        <w:rPr>
          <w:sz w:val="22"/>
          <w:szCs w:val="22"/>
        </w:rPr>
        <w:t>discuss employment, promotion compensation or performance evaluation data of any public employee over which the governmental body has jurisdiction or exercises responsibility.</w:t>
      </w:r>
      <w:r w:rsidRPr="00290531">
        <w:rPr>
          <w:rFonts w:ascii="Arial" w:hAnsi="Arial" w:cs="Arial"/>
          <w:sz w:val="22"/>
          <w:szCs w:val="22"/>
        </w:rPr>
        <w:t xml:space="preserve"> If a closed session is held, the Board may vote to reconvene in open session following the closed session.</w:t>
      </w:r>
    </w:p>
    <w:p w14:paraId="6FB6374F" w14:textId="77777777" w:rsidR="004C6BB3" w:rsidRPr="00290531" w:rsidRDefault="004C6BB3" w:rsidP="00A75067">
      <w:pPr>
        <w:ind w:left="-90"/>
        <w:rPr>
          <w:rFonts w:ascii="Arial" w:hAnsi="Arial" w:cs="Arial"/>
          <w:b/>
          <w:sz w:val="22"/>
          <w:szCs w:val="22"/>
        </w:rPr>
      </w:pPr>
    </w:p>
    <w:p w14:paraId="3C74BAD3" w14:textId="77777777" w:rsidR="00D104CB" w:rsidRPr="00FA00BB" w:rsidRDefault="00D12883" w:rsidP="00290531">
      <w:pPr>
        <w:ind w:left="-90"/>
        <w:rPr>
          <w:rFonts w:ascii="Arial" w:hAnsi="Arial" w:cs="Arial"/>
        </w:rPr>
      </w:pPr>
      <w:r w:rsidRPr="00290531">
        <w:rPr>
          <w:rFonts w:ascii="Arial" w:hAnsi="Arial" w:cs="Arial"/>
          <w:b/>
          <w:sz w:val="22"/>
          <w:szCs w:val="22"/>
        </w:rPr>
        <w:t xml:space="preserve">NOTE:  </w:t>
      </w:r>
      <w:r w:rsidRPr="00290531">
        <w:rPr>
          <w:rFonts w:ascii="Arial" w:hAnsi="Arial" w:cs="Arial"/>
          <w:sz w:val="22"/>
          <w:szCs w:val="22"/>
        </w:rPr>
        <w:t>A quorum of the Wisconsin Retirement (</w:t>
      </w:r>
      <w:proofErr w:type="spellStart"/>
      <w:r w:rsidRPr="00290531">
        <w:rPr>
          <w:rFonts w:ascii="Arial" w:hAnsi="Arial" w:cs="Arial"/>
          <w:sz w:val="22"/>
          <w:szCs w:val="22"/>
        </w:rPr>
        <w:t>WR</w:t>
      </w:r>
      <w:proofErr w:type="spellEnd"/>
      <w:r w:rsidRPr="00290531">
        <w:rPr>
          <w:rFonts w:ascii="Arial" w:hAnsi="Arial" w:cs="Arial"/>
          <w:sz w:val="22"/>
          <w:szCs w:val="22"/>
        </w:rPr>
        <w:t xml:space="preserve">) Board and Teacher Retirement (TR) Board may be in attendance at the ETF Board meeting.  The </w:t>
      </w:r>
      <w:proofErr w:type="spellStart"/>
      <w:r w:rsidRPr="00290531">
        <w:rPr>
          <w:rFonts w:ascii="Arial" w:hAnsi="Arial" w:cs="Arial"/>
          <w:sz w:val="22"/>
          <w:szCs w:val="22"/>
        </w:rPr>
        <w:t>WR</w:t>
      </w:r>
      <w:proofErr w:type="spellEnd"/>
      <w:r w:rsidRPr="00290531">
        <w:rPr>
          <w:rFonts w:ascii="Arial" w:hAnsi="Arial" w:cs="Arial"/>
          <w:sz w:val="22"/>
          <w:szCs w:val="22"/>
        </w:rPr>
        <w:t xml:space="preserve"> and TR Boards will not be conducting business.</w:t>
      </w:r>
    </w:p>
    <w:sectPr w:rsidR="00D104CB" w:rsidRPr="00FA00BB" w:rsidSect="00CF285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9D7E6" w14:textId="77777777" w:rsidR="00014804" w:rsidRDefault="00014804" w:rsidP="007E1971">
      <w:r>
        <w:separator/>
      </w:r>
    </w:p>
  </w:endnote>
  <w:endnote w:type="continuationSeparator" w:id="0">
    <w:p w14:paraId="282F44F2" w14:textId="77777777" w:rsidR="00014804" w:rsidRDefault="00014804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2E2E0" w14:textId="77777777" w:rsidR="00EF6401" w:rsidRDefault="00EF64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EB272" w14:textId="77777777" w:rsidR="00014804" w:rsidRPr="00DF6DA8" w:rsidRDefault="00014804" w:rsidP="007E1971">
    <w:pPr>
      <w:jc w:val="center"/>
      <w:rPr>
        <w:rFonts w:ascii="Arial" w:hAnsi="Arial" w:cs="Arial"/>
        <w:b/>
        <w:sz w:val="16"/>
        <w:szCs w:val="16"/>
      </w:rPr>
    </w:pPr>
  </w:p>
  <w:p w14:paraId="27308027" w14:textId="77777777" w:rsidR="00470637" w:rsidRDefault="00470637" w:rsidP="00470637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>
      <w:rPr>
        <w:rFonts w:ascii="Arial" w:hAnsi="Arial" w:cs="Arial"/>
        <w:b/>
        <w:sz w:val="16"/>
        <w:szCs w:val="16"/>
      </w:rPr>
      <w:t xml:space="preserve">  </w:t>
    </w:r>
  </w:p>
  <w:p w14:paraId="0AB12F9D" w14:textId="77777777" w:rsidR="00470637" w:rsidRPr="00DF6DA8" w:rsidRDefault="00470637" w:rsidP="00470637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14:paraId="4A7C4C89" w14:textId="77777777" w:rsidR="00470637" w:rsidRPr="00DF6DA8" w:rsidRDefault="00470637" w:rsidP="00470637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14:paraId="1D910DF2" w14:textId="77777777" w:rsidR="00470637" w:rsidRPr="00DF6DA8" w:rsidRDefault="00470637" w:rsidP="00470637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14:paraId="60D0BF26" w14:textId="77777777" w:rsidR="00470637" w:rsidRPr="007E20D7" w:rsidRDefault="00470637" w:rsidP="00470637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14:paraId="43420486" w14:textId="77777777" w:rsidR="00014804" w:rsidRPr="007E20D7" w:rsidRDefault="00014804" w:rsidP="007E1971">
    <w:pPr>
      <w:pStyle w:val="Footer"/>
    </w:pPr>
  </w:p>
  <w:p w14:paraId="56B45BD9" w14:textId="77777777" w:rsidR="00014804" w:rsidRDefault="00014804">
    <w:pPr>
      <w:pStyle w:val="Footer"/>
    </w:pPr>
  </w:p>
  <w:p w14:paraId="6034857F" w14:textId="77777777" w:rsidR="00014804" w:rsidRDefault="000148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D9376" w14:textId="77777777" w:rsidR="00EF6401" w:rsidRDefault="00EF6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04E6D" w14:textId="77777777" w:rsidR="00014804" w:rsidRDefault="00014804" w:rsidP="007E1971">
      <w:r>
        <w:separator/>
      </w:r>
    </w:p>
  </w:footnote>
  <w:footnote w:type="continuationSeparator" w:id="0">
    <w:p w14:paraId="60A9405D" w14:textId="77777777" w:rsidR="00014804" w:rsidRDefault="00014804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45CF6" w14:textId="77777777" w:rsidR="00EF6401" w:rsidRDefault="00EF64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D8DC6" w14:textId="77777777" w:rsidR="00EF6401" w:rsidRDefault="00EF64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22E27" w14:textId="77777777" w:rsidR="00EF6401" w:rsidRDefault="00EF64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541A"/>
    <w:multiLevelType w:val="hybridMultilevel"/>
    <w:tmpl w:val="200605A2"/>
    <w:lvl w:ilvl="0" w:tplc="4920AAC6">
      <w:start w:val="2135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47C57"/>
    <w:multiLevelType w:val="hybridMultilevel"/>
    <w:tmpl w:val="DCEA971C"/>
    <w:lvl w:ilvl="0" w:tplc="9DFC5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10F43"/>
    <w:multiLevelType w:val="hybridMultilevel"/>
    <w:tmpl w:val="8B1C40BA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0A11628E"/>
    <w:multiLevelType w:val="hybridMultilevel"/>
    <w:tmpl w:val="3BA6D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07839"/>
    <w:multiLevelType w:val="hybridMultilevel"/>
    <w:tmpl w:val="8B36249C"/>
    <w:lvl w:ilvl="0" w:tplc="CD86112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2188B"/>
    <w:multiLevelType w:val="hybridMultilevel"/>
    <w:tmpl w:val="70F29558"/>
    <w:lvl w:ilvl="0" w:tplc="7F9628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BD3A0DA8">
      <w:start w:val="1"/>
      <w:numFmt w:val="upperLetter"/>
      <w:lvlText w:val="%3."/>
      <w:lvlJc w:val="left"/>
      <w:pPr>
        <w:ind w:left="19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B71980"/>
    <w:multiLevelType w:val="hybridMultilevel"/>
    <w:tmpl w:val="772C7102"/>
    <w:lvl w:ilvl="0" w:tplc="AF98D6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F4B2C"/>
    <w:multiLevelType w:val="hybridMultilevel"/>
    <w:tmpl w:val="336E7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FA5015"/>
    <w:multiLevelType w:val="hybridMultilevel"/>
    <w:tmpl w:val="E3FA912A"/>
    <w:lvl w:ilvl="0" w:tplc="4CAA6C66">
      <w:start w:val="21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75817"/>
    <w:multiLevelType w:val="hybridMultilevel"/>
    <w:tmpl w:val="18FE1218"/>
    <w:lvl w:ilvl="0" w:tplc="7E1A1A1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21C83"/>
    <w:multiLevelType w:val="hybridMultilevel"/>
    <w:tmpl w:val="712E602E"/>
    <w:lvl w:ilvl="0" w:tplc="CFC8BBBA">
      <w:start w:val="213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D680A"/>
    <w:multiLevelType w:val="hybridMultilevel"/>
    <w:tmpl w:val="84F06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4325F"/>
    <w:multiLevelType w:val="hybridMultilevel"/>
    <w:tmpl w:val="609A622C"/>
    <w:lvl w:ilvl="0" w:tplc="040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3" w15:restartNumberingAfterBreak="0">
    <w:nsid w:val="770722BB"/>
    <w:multiLevelType w:val="hybridMultilevel"/>
    <w:tmpl w:val="D23A8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"/>
  </w:num>
  <w:num w:numId="7">
    <w:abstractNumId w:val="12"/>
  </w:num>
  <w:num w:numId="8">
    <w:abstractNumId w:val="9"/>
  </w:num>
  <w:num w:numId="9">
    <w:abstractNumId w:val="13"/>
  </w:num>
  <w:num w:numId="10">
    <w:abstractNumId w:val="7"/>
  </w:num>
  <w:num w:numId="11">
    <w:abstractNumId w:val="2"/>
  </w:num>
  <w:num w:numId="12">
    <w:abstractNumId w:val="8"/>
  </w:num>
  <w:num w:numId="13">
    <w:abstractNumId w:val="0"/>
  </w:num>
  <w:num w:numId="14">
    <w:abstractNumId w:val="10"/>
  </w:num>
  <w:num w:numId="1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0878"/>
    <w:rsid w:val="00001EBD"/>
    <w:rsid w:val="00005406"/>
    <w:rsid w:val="0000723B"/>
    <w:rsid w:val="00012F70"/>
    <w:rsid w:val="00014804"/>
    <w:rsid w:val="0002009C"/>
    <w:rsid w:val="00033CD8"/>
    <w:rsid w:val="00042517"/>
    <w:rsid w:val="000574D6"/>
    <w:rsid w:val="00073FC9"/>
    <w:rsid w:val="0008137B"/>
    <w:rsid w:val="000930AA"/>
    <w:rsid w:val="00093640"/>
    <w:rsid w:val="000A0572"/>
    <w:rsid w:val="000B1115"/>
    <w:rsid w:val="000B14A7"/>
    <w:rsid w:val="000C3121"/>
    <w:rsid w:val="000C3E1C"/>
    <w:rsid w:val="000E5F18"/>
    <w:rsid w:val="000E66D2"/>
    <w:rsid w:val="000F3782"/>
    <w:rsid w:val="00100044"/>
    <w:rsid w:val="0010114D"/>
    <w:rsid w:val="001061FE"/>
    <w:rsid w:val="00107177"/>
    <w:rsid w:val="001105A2"/>
    <w:rsid w:val="00125071"/>
    <w:rsid w:val="00127BE0"/>
    <w:rsid w:val="00132B76"/>
    <w:rsid w:val="00146295"/>
    <w:rsid w:val="00157B72"/>
    <w:rsid w:val="00167C2C"/>
    <w:rsid w:val="00167E33"/>
    <w:rsid w:val="00173998"/>
    <w:rsid w:val="00173D22"/>
    <w:rsid w:val="00177960"/>
    <w:rsid w:val="001811FA"/>
    <w:rsid w:val="00185CD0"/>
    <w:rsid w:val="00187D18"/>
    <w:rsid w:val="001A1A89"/>
    <w:rsid w:val="001A2285"/>
    <w:rsid w:val="001A4C3A"/>
    <w:rsid w:val="001A639D"/>
    <w:rsid w:val="001B0491"/>
    <w:rsid w:val="001C187D"/>
    <w:rsid w:val="001E267D"/>
    <w:rsid w:val="001E3FB0"/>
    <w:rsid w:val="00203B02"/>
    <w:rsid w:val="00210DBE"/>
    <w:rsid w:val="00215FB1"/>
    <w:rsid w:val="002208B9"/>
    <w:rsid w:val="0023182A"/>
    <w:rsid w:val="002379A9"/>
    <w:rsid w:val="00237DFD"/>
    <w:rsid w:val="0024256D"/>
    <w:rsid w:val="00242AC8"/>
    <w:rsid w:val="002471AF"/>
    <w:rsid w:val="00247A4F"/>
    <w:rsid w:val="00256543"/>
    <w:rsid w:val="00257628"/>
    <w:rsid w:val="0026764B"/>
    <w:rsid w:val="00284C21"/>
    <w:rsid w:val="00286C06"/>
    <w:rsid w:val="00290531"/>
    <w:rsid w:val="0029217D"/>
    <w:rsid w:val="00294E6E"/>
    <w:rsid w:val="002A41FA"/>
    <w:rsid w:val="002A519B"/>
    <w:rsid w:val="002B3877"/>
    <w:rsid w:val="002B5242"/>
    <w:rsid w:val="002C1B36"/>
    <w:rsid w:val="002C4EB0"/>
    <w:rsid w:val="002D7996"/>
    <w:rsid w:val="002E186F"/>
    <w:rsid w:val="002F2104"/>
    <w:rsid w:val="002F2ED5"/>
    <w:rsid w:val="002F5112"/>
    <w:rsid w:val="003072B9"/>
    <w:rsid w:val="00310D4D"/>
    <w:rsid w:val="00314274"/>
    <w:rsid w:val="00321A8F"/>
    <w:rsid w:val="00323377"/>
    <w:rsid w:val="003238DF"/>
    <w:rsid w:val="00323B99"/>
    <w:rsid w:val="003244A4"/>
    <w:rsid w:val="00330B52"/>
    <w:rsid w:val="003401B2"/>
    <w:rsid w:val="00345C6D"/>
    <w:rsid w:val="00350FBF"/>
    <w:rsid w:val="00361618"/>
    <w:rsid w:val="003658AF"/>
    <w:rsid w:val="00380942"/>
    <w:rsid w:val="003B0644"/>
    <w:rsid w:val="003B7E65"/>
    <w:rsid w:val="003C2A7D"/>
    <w:rsid w:val="003C7AAD"/>
    <w:rsid w:val="003E284C"/>
    <w:rsid w:val="003E3B92"/>
    <w:rsid w:val="003E7619"/>
    <w:rsid w:val="0040105A"/>
    <w:rsid w:val="00404922"/>
    <w:rsid w:val="004173D9"/>
    <w:rsid w:val="00434251"/>
    <w:rsid w:val="00443DCB"/>
    <w:rsid w:val="00466E5A"/>
    <w:rsid w:val="004675BC"/>
    <w:rsid w:val="00467807"/>
    <w:rsid w:val="00470637"/>
    <w:rsid w:val="00471317"/>
    <w:rsid w:val="004727DD"/>
    <w:rsid w:val="0048428A"/>
    <w:rsid w:val="00494C7F"/>
    <w:rsid w:val="00497DDD"/>
    <w:rsid w:val="004A0351"/>
    <w:rsid w:val="004B39D3"/>
    <w:rsid w:val="004B493F"/>
    <w:rsid w:val="004C6BB3"/>
    <w:rsid w:val="004D5AE2"/>
    <w:rsid w:val="004E75DF"/>
    <w:rsid w:val="004F46C8"/>
    <w:rsid w:val="004F73DA"/>
    <w:rsid w:val="004F76E9"/>
    <w:rsid w:val="0050373B"/>
    <w:rsid w:val="0051194A"/>
    <w:rsid w:val="00513EFE"/>
    <w:rsid w:val="005214AE"/>
    <w:rsid w:val="005270C9"/>
    <w:rsid w:val="00550D9F"/>
    <w:rsid w:val="00561417"/>
    <w:rsid w:val="0056320A"/>
    <w:rsid w:val="005715C0"/>
    <w:rsid w:val="00571ADB"/>
    <w:rsid w:val="00583972"/>
    <w:rsid w:val="00586E19"/>
    <w:rsid w:val="00590018"/>
    <w:rsid w:val="00591426"/>
    <w:rsid w:val="005A02AA"/>
    <w:rsid w:val="005A0BA2"/>
    <w:rsid w:val="005B0D94"/>
    <w:rsid w:val="005B4F0A"/>
    <w:rsid w:val="005B5302"/>
    <w:rsid w:val="005C66CC"/>
    <w:rsid w:val="005D51E7"/>
    <w:rsid w:val="005D7A5F"/>
    <w:rsid w:val="005D7BD6"/>
    <w:rsid w:val="005E32D7"/>
    <w:rsid w:val="005F237C"/>
    <w:rsid w:val="005F3D51"/>
    <w:rsid w:val="005F5899"/>
    <w:rsid w:val="006064F3"/>
    <w:rsid w:val="0061079A"/>
    <w:rsid w:val="00613D1F"/>
    <w:rsid w:val="0061545B"/>
    <w:rsid w:val="00636E02"/>
    <w:rsid w:val="00644D4E"/>
    <w:rsid w:val="00644DBD"/>
    <w:rsid w:val="00645FC3"/>
    <w:rsid w:val="00651ED4"/>
    <w:rsid w:val="0066361D"/>
    <w:rsid w:val="00671C02"/>
    <w:rsid w:val="00694493"/>
    <w:rsid w:val="006A0E7D"/>
    <w:rsid w:val="006A50F4"/>
    <w:rsid w:val="006C55F5"/>
    <w:rsid w:val="006D3395"/>
    <w:rsid w:val="006D568E"/>
    <w:rsid w:val="006E0AC6"/>
    <w:rsid w:val="006E2CAE"/>
    <w:rsid w:val="006E6FAD"/>
    <w:rsid w:val="006F1780"/>
    <w:rsid w:val="006F2451"/>
    <w:rsid w:val="006F31E7"/>
    <w:rsid w:val="006F6D50"/>
    <w:rsid w:val="00704B6F"/>
    <w:rsid w:val="00715CED"/>
    <w:rsid w:val="00727016"/>
    <w:rsid w:val="00740E1F"/>
    <w:rsid w:val="00743A8D"/>
    <w:rsid w:val="0074432F"/>
    <w:rsid w:val="0075354D"/>
    <w:rsid w:val="007632A5"/>
    <w:rsid w:val="00770524"/>
    <w:rsid w:val="007766D1"/>
    <w:rsid w:val="007803A0"/>
    <w:rsid w:val="007A25E1"/>
    <w:rsid w:val="007A281A"/>
    <w:rsid w:val="007A31E1"/>
    <w:rsid w:val="007A7407"/>
    <w:rsid w:val="007B115D"/>
    <w:rsid w:val="007C0004"/>
    <w:rsid w:val="007C645B"/>
    <w:rsid w:val="007E1971"/>
    <w:rsid w:val="007F682D"/>
    <w:rsid w:val="008038FD"/>
    <w:rsid w:val="00803911"/>
    <w:rsid w:val="008066EF"/>
    <w:rsid w:val="00820C89"/>
    <w:rsid w:val="00820C9C"/>
    <w:rsid w:val="00822F8C"/>
    <w:rsid w:val="008468E3"/>
    <w:rsid w:val="0085184A"/>
    <w:rsid w:val="008A4AF9"/>
    <w:rsid w:val="008B0BAA"/>
    <w:rsid w:val="008B68F1"/>
    <w:rsid w:val="008C185A"/>
    <w:rsid w:val="008C74C9"/>
    <w:rsid w:val="008D06D7"/>
    <w:rsid w:val="008D5600"/>
    <w:rsid w:val="008D57EF"/>
    <w:rsid w:val="008E6659"/>
    <w:rsid w:val="008E7BCE"/>
    <w:rsid w:val="008F5D62"/>
    <w:rsid w:val="0090208A"/>
    <w:rsid w:val="00916A59"/>
    <w:rsid w:val="0094618E"/>
    <w:rsid w:val="0095236E"/>
    <w:rsid w:val="0097050C"/>
    <w:rsid w:val="00995CB6"/>
    <w:rsid w:val="009A67BF"/>
    <w:rsid w:val="009A6D7D"/>
    <w:rsid w:val="009B472C"/>
    <w:rsid w:val="009C051A"/>
    <w:rsid w:val="009C76F8"/>
    <w:rsid w:val="009F0330"/>
    <w:rsid w:val="009F4058"/>
    <w:rsid w:val="009F58F9"/>
    <w:rsid w:val="00A02DEC"/>
    <w:rsid w:val="00A0419A"/>
    <w:rsid w:val="00A1647A"/>
    <w:rsid w:val="00A3210D"/>
    <w:rsid w:val="00A3476C"/>
    <w:rsid w:val="00A43419"/>
    <w:rsid w:val="00A449E2"/>
    <w:rsid w:val="00A45F92"/>
    <w:rsid w:val="00A46EC7"/>
    <w:rsid w:val="00A502B0"/>
    <w:rsid w:val="00A613ED"/>
    <w:rsid w:val="00A6210F"/>
    <w:rsid w:val="00A62F0B"/>
    <w:rsid w:val="00A75067"/>
    <w:rsid w:val="00A768A4"/>
    <w:rsid w:val="00AA2C82"/>
    <w:rsid w:val="00AA4E03"/>
    <w:rsid w:val="00AB7C67"/>
    <w:rsid w:val="00AC27FB"/>
    <w:rsid w:val="00AD5E7D"/>
    <w:rsid w:val="00AD7443"/>
    <w:rsid w:val="00AE43B3"/>
    <w:rsid w:val="00AE4E53"/>
    <w:rsid w:val="00AF324F"/>
    <w:rsid w:val="00AF50AA"/>
    <w:rsid w:val="00B027F0"/>
    <w:rsid w:val="00B1229F"/>
    <w:rsid w:val="00B14E26"/>
    <w:rsid w:val="00B15718"/>
    <w:rsid w:val="00B1744E"/>
    <w:rsid w:val="00B255BB"/>
    <w:rsid w:val="00B3018D"/>
    <w:rsid w:val="00B36AB0"/>
    <w:rsid w:val="00B4436B"/>
    <w:rsid w:val="00B60FC7"/>
    <w:rsid w:val="00B67057"/>
    <w:rsid w:val="00B829EE"/>
    <w:rsid w:val="00B8391A"/>
    <w:rsid w:val="00B906E5"/>
    <w:rsid w:val="00BB060E"/>
    <w:rsid w:val="00BB666C"/>
    <w:rsid w:val="00BB7D02"/>
    <w:rsid w:val="00BC0EF3"/>
    <w:rsid w:val="00BC1E05"/>
    <w:rsid w:val="00BD25FB"/>
    <w:rsid w:val="00BD352C"/>
    <w:rsid w:val="00BE606E"/>
    <w:rsid w:val="00BE764D"/>
    <w:rsid w:val="00BF4DEC"/>
    <w:rsid w:val="00C21027"/>
    <w:rsid w:val="00C50FFA"/>
    <w:rsid w:val="00C576CF"/>
    <w:rsid w:val="00C624D0"/>
    <w:rsid w:val="00C66E4D"/>
    <w:rsid w:val="00C712B3"/>
    <w:rsid w:val="00C76BBC"/>
    <w:rsid w:val="00C811F4"/>
    <w:rsid w:val="00C8142B"/>
    <w:rsid w:val="00C82A5D"/>
    <w:rsid w:val="00C83804"/>
    <w:rsid w:val="00CB5322"/>
    <w:rsid w:val="00CB751D"/>
    <w:rsid w:val="00CD440E"/>
    <w:rsid w:val="00CD7FF6"/>
    <w:rsid w:val="00CE1835"/>
    <w:rsid w:val="00CE689A"/>
    <w:rsid w:val="00CF12E1"/>
    <w:rsid w:val="00CF2859"/>
    <w:rsid w:val="00CF3740"/>
    <w:rsid w:val="00CF59EC"/>
    <w:rsid w:val="00CF699D"/>
    <w:rsid w:val="00D104CB"/>
    <w:rsid w:val="00D12883"/>
    <w:rsid w:val="00D13F87"/>
    <w:rsid w:val="00D17D2A"/>
    <w:rsid w:val="00D235B8"/>
    <w:rsid w:val="00D268A5"/>
    <w:rsid w:val="00D27E42"/>
    <w:rsid w:val="00D43758"/>
    <w:rsid w:val="00D45A09"/>
    <w:rsid w:val="00D477C5"/>
    <w:rsid w:val="00D52487"/>
    <w:rsid w:val="00D53241"/>
    <w:rsid w:val="00D56C0C"/>
    <w:rsid w:val="00D60BA2"/>
    <w:rsid w:val="00D71D97"/>
    <w:rsid w:val="00D868B9"/>
    <w:rsid w:val="00DB3CA4"/>
    <w:rsid w:val="00DC2B7D"/>
    <w:rsid w:val="00DD0053"/>
    <w:rsid w:val="00DF28BD"/>
    <w:rsid w:val="00DF530E"/>
    <w:rsid w:val="00DF6DA8"/>
    <w:rsid w:val="00E05E41"/>
    <w:rsid w:val="00E1491C"/>
    <w:rsid w:val="00E14A51"/>
    <w:rsid w:val="00E16283"/>
    <w:rsid w:val="00E36CE6"/>
    <w:rsid w:val="00E42486"/>
    <w:rsid w:val="00E6037A"/>
    <w:rsid w:val="00E7243F"/>
    <w:rsid w:val="00E730A2"/>
    <w:rsid w:val="00E7591E"/>
    <w:rsid w:val="00E87D10"/>
    <w:rsid w:val="00E92BFE"/>
    <w:rsid w:val="00EA1233"/>
    <w:rsid w:val="00EA43B8"/>
    <w:rsid w:val="00EA78D1"/>
    <w:rsid w:val="00EB061C"/>
    <w:rsid w:val="00EB1889"/>
    <w:rsid w:val="00EC0CBD"/>
    <w:rsid w:val="00ED149A"/>
    <w:rsid w:val="00ED2702"/>
    <w:rsid w:val="00EE25D1"/>
    <w:rsid w:val="00EE3896"/>
    <w:rsid w:val="00EE3E39"/>
    <w:rsid w:val="00EE4069"/>
    <w:rsid w:val="00EE6656"/>
    <w:rsid w:val="00EF6401"/>
    <w:rsid w:val="00EF69EA"/>
    <w:rsid w:val="00F02D22"/>
    <w:rsid w:val="00F10238"/>
    <w:rsid w:val="00F36871"/>
    <w:rsid w:val="00F36A3B"/>
    <w:rsid w:val="00F40FA3"/>
    <w:rsid w:val="00F45AE2"/>
    <w:rsid w:val="00F46388"/>
    <w:rsid w:val="00F47B65"/>
    <w:rsid w:val="00F55328"/>
    <w:rsid w:val="00F7441E"/>
    <w:rsid w:val="00F82697"/>
    <w:rsid w:val="00F94EE4"/>
    <w:rsid w:val="00F95A81"/>
    <w:rsid w:val="00FA00BB"/>
    <w:rsid w:val="00FA6977"/>
    <w:rsid w:val="00FB5E92"/>
    <w:rsid w:val="00FC1691"/>
    <w:rsid w:val="00FD4319"/>
    <w:rsid w:val="00FD437E"/>
    <w:rsid w:val="00FD4381"/>
    <w:rsid w:val="00FE4EBE"/>
    <w:rsid w:val="00FF1ADE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63BE514E"/>
  <w15:docId w15:val="{7F22BC16-6EFE-495D-B2ED-A9716B16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A613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13ED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613ED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A61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13ED"/>
    <w:rPr>
      <w:rFonts w:ascii="Tahoma" w:hAnsi="Tahoma"/>
      <w:b/>
      <w:bCs/>
    </w:rPr>
  </w:style>
  <w:style w:type="paragraph" w:styleId="BodyTextIndent">
    <w:name w:val="Body Text Indent"/>
    <w:basedOn w:val="Normal"/>
    <w:link w:val="BodyTextIndentChar"/>
    <w:rsid w:val="00D104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104CB"/>
    <w:rPr>
      <w:rFonts w:ascii="Tahoma" w:hAnsi="Tahoma"/>
      <w:szCs w:val="24"/>
    </w:rPr>
  </w:style>
  <w:style w:type="character" w:styleId="FollowedHyperlink">
    <w:name w:val="FollowedHyperlink"/>
    <w:basedOn w:val="DefaultParagraphFont"/>
    <w:rsid w:val="002A51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712B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rsid w:val="004F73DA"/>
    <w:rPr>
      <w:rFonts w:ascii="Tahoma" w:hAnsi="Tahoma"/>
      <w:b/>
      <w:sz w:val="22"/>
      <w:szCs w:val="24"/>
    </w:rPr>
  </w:style>
  <w:style w:type="paragraph" w:customStyle="1" w:styleId="Default">
    <w:name w:val="Default"/>
    <w:rsid w:val="00636E0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etf.wi.gov/boards/agenda-items-2015/etf0625/etf/item4d.pdf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5/etf0625/etf/item4cr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tf.wi.gov/boards/agenda-items-2015/etf0625/etf/item5d.pdf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5/etf0625/etf/item4b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tf.wi.gov/boards/agenda-items-2015/etf0625/etf/item5c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tf.wi.gov/boards/agenda-items-2015/etf0625/etf/item4a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5/etf0625/etf/item1.pdf" TargetMode="External"/><Relationship Id="rId14" Type="http://schemas.openxmlformats.org/officeDocument/2006/relationships/hyperlink" Target="http://etf.wi.gov/boards/agenda-items-2015/etf0625/etf/item5b.pdf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5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Mullins, Cheryllynn</cp:lastModifiedBy>
  <cp:revision>6</cp:revision>
  <cp:lastPrinted>2014-10-21T20:10:00Z</cp:lastPrinted>
  <dcterms:created xsi:type="dcterms:W3CDTF">2015-06-02T13:40:00Z</dcterms:created>
  <dcterms:modified xsi:type="dcterms:W3CDTF">2015-06-09T15:12:00Z</dcterms:modified>
</cp:coreProperties>
</file>