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32" w:type="dxa"/>
        <w:tblLayout w:type="fixed"/>
        <w:tblLook w:val="0000"/>
      </w:tblPr>
      <w:tblGrid>
        <w:gridCol w:w="3240"/>
        <w:gridCol w:w="6210"/>
        <w:gridCol w:w="1980"/>
      </w:tblGrid>
      <w:tr w:rsidR="00302DFE">
        <w:trPr>
          <w:trHeight w:val="1793"/>
        </w:trPr>
        <w:tc>
          <w:tcPr>
            <w:tcW w:w="3240" w:type="dxa"/>
          </w:tcPr>
          <w:p w:rsidR="00302DFE" w:rsidRDefault="00473B6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08pt;margin-top:15.85pt;width:266.4pt;height:64.8pt;z-index:251657728" o:allowincell="f" stroked="f">
                  <v:textbox>
                    <w:txbxContent>
                      <w:p w:rsidR="006509E1" w:rsidRDefault="006509E1">
                        <w:pPr>
                          <w:pStyle w:val="Heading2"/>
                          <w:jc w:val="center"/>
                          <w:rPr>
                            <w:rFonts w:ascii="Century Gothic" w:hAnsi="Century Gothic"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sz w:val="28"/>
                          </w:rPr>
                          <w:t>STATE OF WISCONSIN</w:t>
                        </w:r>
                      </w:p>
                      <w:p w:rsidR="006509E1" w:rsidRDefault="006509E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Department of Employee Trust Funds</w:t>
                        </w:r>
                      </w:p>
                      <w:p w:rsidR="006509E1" w:rsidRDefault="00E663CB">
                        <w:pPr>
                          <w:pStyle w:val="Heading4"/>
                        </w:pPr>
                        <w:r>
                          <w:t>Robert J. Conlin</w:t>
                        </w:r>
                        <w:r w:rsidR="006509E1">
                          <w:t xml:space="preserve"> </w:t>
                        </w:r>
                      </w:p>
                      <w:p w:rsidR="006509E1" w:rsidRDefault="006509E1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SECRETARY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403.2pt;margin-top:1.45pt;width:108pt;height:86.4pt;z-index:251658752" o:allowincell="f" stroked="f">
                  <v:textbox>
                    <w:txbxContent>
                      <w:p w:rsidR="006509E1" w:rsidRDefault="006509E1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801 W Badger Road</w:t>
                        </w:r>
                      </w:p>
                      <w:p w:rsidR="006509E1" w:rsidRDefault="006509E1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PO Box 7931</w:t>
                        </w:r>
                      </w:p>
                      <w:p w:rsidR="006509E1" w:rsidRDefault="006509E1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Madison WI  53707-7931</w:t>
                        </w:r>
                      </w:p>
                      <w:p w:rsidR="006509E1" w:rsidRDefault="006509E1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  <w:p w:rsidR="006509E1" w:rsidRDefault="006509E1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1-877-533-5020 (toll free)</w:t>
                        </w:r>
                      </w:p>
                      <w:p w:rsidR="006509E1" w:rsidRDefault="006509E1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Fax (608) 267-4549</w:t>
                        </w:r>
                      </w:p>
                      <w:p w:rsidR="006509E1" w:rsidRDefault="006509E1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http://etf.wi.gov</w:t>
                        </w:r>
                      </w:p>
                    </w:txbxContent>
                  </v:textbox>
                </v:shape>
              </w:pict>
            </w:r>
            <w:r w:rsidR="00955095">
              <w:rPr>
                <w:noProof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-822960</wp:posOffset>
                  </wp:positionH>
                  <wp:positionV relativeFrom="paragraph">
                    <wp:posOffset>-164465</wp:posOffset>
                  </wp:positionV>
                  <wp:extent cx="2011680" cy="1235075"/>
                  <wp:effectExtent l="19050" t="0" r="7620" b="0"/>
                  <wp:wrapNone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0" w:type="dxa"/>
          </w:tcPr>
          <w:p w:rsidR="00302DFE" w:rsidRDefault="00302DFE">
            <w:pPr>
              <w:pStyle w:val="Title"/>
              <w:rPr>
                <w:rFonts w:ascii="Arial" w:hAnsi="Arial"/>
                <w:b/>
              </w:rPr>
            </w:pPr>
          </w:p>
          <w:p w:rsidR="00302DFE" w:rsidRDefault="00302DFE">
            <w:pPr>
              <w:ind w:right="-108"/>
              <w:rPr>
                <w:i/>
              </w:rPr>
            </w:pP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:rsidR="00302DFE" w:rsidRDefault="00302DFE">
            <w:pPr>
              <w:jc w:val="right"/>
            </w:pPr>
          </w:p>
        </w:tc>
      </w:tr>
    </w:tbl>
    <w:p w:rsidR="00302DFE" w:rsidRDefault="00302DFE"/>
    <w:p w:rsidR="00302DFE" w:rsidRDefault="00302DFE">
      <w:pPr>
        <w:pStyle w:val="Heading3"/>
      </w:pPr>
      <w:r>
        <w:t>CORRESPONDENCE MEMORANDUM</w:t>
      </w:r>
    </w:p>
    <w:p w:rsidR="00302DFE" w:rsidRDefault="00302DFE">
      <w:pPr>
        <w:jc w:val="center"/>
        <w:rPr>
          <w:sz w:val="28"/>
        </w:rPr>
      </w:pPr>
    </w:p>
    <w:p w:rsidR="00703505" w:rsidRPr="00703505" w:rsidRDefault="00703505">
      <w:pPr>
        <w:jc w:val="center"/>
        <w:rPr>
          <w:sz w:val="28"/>
        </w:rPr>
      </w:pPr>
    </w:p>
    <w:p w:rsidR="00302DFE" w:rsidRPr="00032A49" w:rsidRDefault="00302DFE">
      <w:pPr>
        <w:rPr>
          <w:b/>
          <w:sz w:val="24"/>
          <w:szCs w:val="24"/>
        </w:rPr>
      </w:pPr>
      <w:r w:rsidRPr="00032A49">
        <w:rPr>
          <w:b/>
          <w:sz w:val="24"/>
          <w:szCs w:val="24"/>
        </w:rPr>
        <w:t>DATE:</w:t>
      </w:r>
      <w:r w:rsidRPr="00032A49">
        <w:rPr>
          <w:b/>
          <w:sz w:val="24"/>
          <w:szCs w:val="24"/>
        </w:rPr>
        <w:tab/>
      </w:r>
      <w:r w:rsidR="00E663CB">
        <w:rPr>
          <w:sz w:val="24"/>
          <w:szCs w:val="24"/>
        </w:rPr>
        <w:t xml:space="preserve">February 20, </w:t>
      </w:r>
      <w:r w:rsidRPr="00032A49">
        <w:rPr>
          <w:sz w:val="24"/>
          <w:szCs w:val="24"/>
        </w:rPr>
        <w:t>20</w:t>
      </w:r>
      <w:r w:rsidR="00510A17" w:rsidRPr="00032A49">
        <w:rPr>
          <w:sz w:val="24"/>
          <w:szCs w:val="24"/>
        </w:rPr>
        <w:t>1</w:t>
      </w:r>
      <w:r w:rsidR="00E663CB">
        <w:rPr>
          <w:sz w:val="24"/>
          <w:szCs w:val="24"/>
        </w:rPr>
        <w:t>2</w:t>
      </w:r>
    </w:p>
    <w:p w:rsidR="00302DFE" w:rsidRPr="00032A49" w:rsidRDefault="00302DFE">
      <w:pPr>
        <w:rPr>
          <w:sz w:val="24"/>
          <w:szCs w:val="24"/>
        </w:rPr>
      </w:pPr>
      <w:r w:rsidRPr="00032A49">
        <w:rPr>
          <w:b/>
          <w:sz w:val="24"/>
          <w:szCs w:val="24"/>
        </w:rPr>
        <w:tab/>
      </w:r>
    </w:p>
    <w:p w:rsidR="00302DFE" w:rsidRPr="00032A49" w:rsidRDefault="00302DFE">
      <w:pPr>
        <w:rPr>
          <w:sz w:val="24"/>
          <w:szCs w:val="24"/>
        </w:rPr>
      </w:pPr>
      <w:r w:rsidRPr="00032A49">
        <w:rPr>
          <w:b/>
          <w:sz w:val="24"/>
          <w:szCs w:val="24"/>
        </w:rPr>
        <w:t>TO:</w:t>
      </w:r>
      <w:r w:rsidRPr="00032A49">
        <w:rPr>
          <w:b/>
          <w:sz w:val="24"/>
          <w:szCs w:val="24"/>
        </w:rPr>
        <w:tab/>
      </w:r>
      <w:r w:rsidRPr="00032A49">
        <w:rPr>
          <w:sz w:val="24"/>
          <w:szCs w:val="24"/>
        </w:rPr>
        <w:tab/>
      </w:r>
      <w:r w:rsidR="005B24D0" w:rsidRPr="00032A49">
        <w:rPr>
          <w:sz w:val="24"/>
          <w:szCs w:val="24"/>
        </w:rPr>
        <w:t xml:space="preserve">Executive </w:t>
      </w:r>
      <w:r w:rsidRPr="00032A49">
        <w:rPr>
          <w:sz w:val="24"/>
          <w:szCs w:val="24"/>
        </w:rPr>
        <w:t>Committee</w:t>
      </w:r>
    </w:p>
    <w:p w:rsidR="00302DFE" w:rsidRPr="00032A49" w:rsidRDefault="00302DFE">
      <w:pPr>
        <w:rPr>
          <w:sz w:val="24"/>
          <w:szCs w:val="24"/>
        </w:rPr>
      </w:pPr>
      <w:r w:rsidRPr="00032A49">
        <w:rPr>
          <w:sz w:val="24"/>
          <w:szCs w:val="24"/>
        </w:rPr>
        <w:tab/>
      </w:r>
      <w:r w:rsidRPr="00032A49">
        <w:rPr>
          <w:sz w:val="24"/>
          <w:szCs w:val="24"/>
        </w:rPr>
        <w:tab/>
        <w:t xml:space="preserve">Employee Trust Funds </w:t>
      </w:r>
      <w:r w:rsidR="00CA35BC" w:rsidRPr="00032A49">
        <w:rPr>
          <w:sz w:val="24"/>
          <w:szCs w:val="24"/>
        </w:rPr>
        <w:t xml:space="preserve">(ETF) </w:t>
      </w:r>
      <w:r w:rsidRPr="00032A49">
        <w:rPr>
          <w:sz w:val="24"/>
          <w:szCs w:val="24"/>
        </w:rPr>
        <w:t>Board</w:t>
      </w:r>
    </w:p>
    <w:p w:rsidR="00302DFE" w:rsidRPr="00032A49" w:rsidRDefault="00302DFE">
      <w:pPr>
        <w:rPr>
          <w:sz w:val="24"/>
          <w:szCs w:val="24"/>
        </w:rPr>
      </w:pPr>
      <w:r w:rsidRPr="00032A49">
        <w:rPr>
          <w:sz w:val="24"/>
          <w:szCs w:val="24"/>
        </w:rPr>
        <w:tab/>
      </w:r>
      <w:r w:rsidRPr="00032A49">
        <w:rPr>
          <w:sz w:val="24"/>
          <w:szCs w:val="24"/>
        </w:rPr>
        <w:tab/>
      </w:r>
    </w:p>
    <w:p w:rsidR="00032A49" w:rsidRDefault="00302DFE">
      <w:pPr>
        <w:rPr>
          <w:sz w:val="24"/>
          <w:szCs w:val="24"/>
        </w:rPr>
      </w:pPr>
      <w:r w:rsidRPr="00032A49">
        <w:rPr>
          <w:b/>
          <w:sz w:val="24"/>
          <w:szCs w:val="24"/>
        </w:rPr>
        <w:t>FROM:</w:t>
      </w:r>
      <w:r w:rsidRPr="00032A49">
        <w:rPr>
          <w:sz w:val="24"/>
          <w:szCs w:val="24"/>
        </w:rPr>
        <w:tab/>
      </w:r>
      <w:r w:rsidR="00CA7A93">
        <w:rPr>
          <w:sz w:val="24"/>
          <w:szCs w:val="24"/>
        </w:rPr>
        <w:t>Pam Henning</w:t>
      </w:r>
      <w:r w:rsidR="00032A49" w:rsidRPr="00032A49">
        <w:rPr>
          <w:sz w:val="24"/>
          <w:szCs w:val="24"/>
        </w:rPr>
        <w:t xml:space="preserve">, </w:t>
      </w:r>
      <w:r w:rsidR="00CA7A93">
        <w:rPr>
          <w:sz w:val="24"/>
          <w:szCs w:val="24"/>
        </w:rPr>
        <w:t>Administrator</w:t>
      </w:r>
    </w:p>
    <w:p w:rsidR="00CA7A93" w:rsidRPr="00032A49" w:rsidRDefault="00CA7A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Division of Management Services</w:t>
      </w:r>
    </w:p>
    <w:p w:rsidR="00302DFE" w:rsidRPr="00032A49" w:rsidRDefault="00302DFE">
      <w:pPr>
        <w:rPr>
          <w:b/>
          <w:sz w:val="24"/>
          <w:szCs w:val="24"/>
        </w:rPr>
      </w:pPr>
      <w:r w:rsidRPr="00032A49">
        <w:rPr>
          <w:sz w:val="24"/>
          <w:szCs w:val="24"/>
        </w:rPr>
        <w:tab/>
      </w:r>
      <w:r w:rsidRPr="00032A49">
        <w:rPr>
          <w:sz w:val="24"/>
          <w:szCs w:val="24"/>
        </w:rPr>
        <w:tab/>
      </w:r>
    </w:p>
    <w:p w:rsidR="004E00A9" w:rsidRPr="00032A49" w:rsidRDefault="00302DFE">
      <w:pPr>
        <w:rPr>
          <w:sz w:val="24"/>
          <w:szCs w:val="24"/>
        </w:rPr>
      </w:pPr>
      <w:r w:rsidRPr="00032A49">
        <w:rPr>
          <w:b/>
          <w:sz w:val="24"/>
          <w:szCs w:val="24"/>
        </w:rPr>
        <w:t>SUBJECT:</w:t>
      </w:r>
      <w:r w:rsidRPr="00032A49">
        <w:rPr>
          <w:sz w:val="24"/>
          <w:szCs w:val="24"/>
        </w:rPr>
        <w:tab/>
      </w:r>
      <w:r w:rsidR="00032A49" w:rsidRPr="00032A49">
        <w:rPr>
          <w:sz w:val="24"/>
          <w:szCs w:val="24"/>
        </w:rPr>
        <w:t>S</w:t>
      </w:r>
      <w:r w:rsidR="004E00A9" w:rsidRPr="00032A49">
        <w:rPr>
          <w:sz w:val="24"/>
          <w:szCs w:val="24"/>
        </w:rPr>
        <w:t xml:space="preserve">teps/Timelines for </w:t>
      </w:r>
      <w:r w:rsidR="004A204D" w:rsidRPr="00032A49">
        <w:rPr>
          <w:sz w:val="24"/>
          <w:szCs w:val="24"/>
        </w:rPr>
        <w:t xml:space="preserve">the </w:t>
      </w:r>
      <w:r w:rsidR="004E00A9" w:rsidRPr="00032A49">
        <w:rPr>
          <w:sz w:val="24"/>
          <w:szCs w:val="24"/>
        </w:rPr>
        <w:t xml:space="preserve">ETF </w:t>
      </w:r>
      <w:r w:rsidRPr="00032A49">
        <w:rPr>
          <w:sz w:val="24"/>
          <w:szCs w:val="24"/>
        </w:rPr>
        <w:t xml:space="preserve">Secretary’s </w:t>
      </w:r>
      <w:r w:rsidR="004E00A9" w:rsidRPr="00032A49">
        <w:rPr>
          <w:sz w:val="24"/>
          <w:szCs w:val="24"/>
        </w:rPr>
        <w:t>Evaluation Process and</w:t>
      </w:r>
    </w:p>
    <w:p w:rsidR="00302DFE" w:rsidRPr="00032A49" w:rsidRDefault="004E00A9" w:rsidP="004E00A9">
      <w:pPr>
        <w:ind w:left="720" w:firstLine="720"/>
        <w:rPr>
          <w:sz w:val="24"/>
          <w:szCs w:val="24"/>
        </w:rPr>
      </w:pPr>
      <w:r w:rsidRPr="00032A49">
        <w:rPr>
          <w:sz w:val="24"/>
          <w:szCs w:val="24"/>
        </w:rPr>
        <w:t>Managerial Survey</w:t>
      </w:r>
    </w:p>
    <w:p w:rsidR="009A17BF" w:rsidRPr="00032A49" w:rsidRDefault="009A17BF">
      <w:pPr>
        <w:rPr>
          <w:sz w:val="24"/>
          <w:szCs w:val="24"/>
          <w:u w:val="single"/>
        </w:rPr>
      </w:pPr>
    </w:p>
    <w:p w:rsidR="00DA30BA" w:rsidRPr="00DA30BA" w:rsidRDefault="00DA30BA" w:rsidP="00AD3EF2">
      <w:pPr>
        <w:rPr>
          <w:b/>
          <w:sz w:val="24"/>
          <w:szCs w:val="24"/>
        </w:rPr>
      </w:pPr>
      <w:r w:rsidRPr="00DA30BA">
        <w:rPr>
          <w:b/>
          <w:sz w:val="24"/>
          <w:szCs w:val="24"/>
        </w:rPr>
        <w:t>Background</w:t>
      </w:r>
    </w:p>
    <w:p w:rsidR="008F2B2F" w:rsidRDefault="00323469" w:rsidP="00AD3EF2">
      <w:pPr>
        <w:rPr>
          <w:sz w:val="24"/>
          <w:szCs w:val="24"/>
        </w:rPr>
      </w:pPr>
      <w:r>
        <w:rPr>
          <w:sz w:val="24"/>
          <w:szCs w:val="24"/>
        </w:rPr>
        <w:t xml:space="preserve">In December 2008, the </w:t>
      </w:r>
      <w:r w:rsidR="00887537" w:rsidRPr="00032A49">
        <w:rPr>
          <w:sz w:val="24"/>
          <w:szCs w:val="24"/>
        </w:rPr>
        <w:t xml:space="preserve">ETF </w:t>
      </w:r>
      <w:r w:rsidR="00302DFE" w:rsidRPr="00032A49">
        <w:rPr>
          <w:sz w:val="24"/>
          <w:szCs w:val="24"/>
        </w:rPr>
        <w:t xml:space="preserve">Board </w:t>
      </w:r>
      <w:r w:rsidR="00887537" w:rsidRPr="00032A49">
        <w:rPr>
          <w:sz w:val="24"/>
          <w:szCs w:val="24"/>
        </w:rPr>
        <w:t>(Board)</w:t>
      </w:r>
      <w:r w:rsidR="009972CA" w:rsidRPr="00032A49">
        <w:rPr>
          <w:sz w:val="24"/>
          <w:szCs w:val="24"/>
        </w:rPr>
        <w:t xml:space="preserve"> approved </w:t>
      </w:r>
      <w:r w:rsidR="004E00A9" w:rsidRPr="00032A49">
        <w:rPr>
          <w:sz w:val="24"/>
          <w:szCs w:val="24"/>
        </w:rPr>
        <w:t>a</w:t>
      </w:r>
      <w:r w:rsidR="005B24D0" w:rsidRPr="00032A49">
        <w:rPr>
          <w:sz w:val="24"/>
          <w:szCs w:val="24"/>
        </w:rPr>
        <w:t xml:space="preserve"> performance evaluation </w:t>
      </w:r>
      <w:r w:rsidR="00FC5639">
        <w:rPr>
          <w:sz w:val="24"/>
          <w:szCs w:val="24"/>
        </w:rPr>
        <w:t xml:space="preserve">form </w:t>
      </w:r>
      <w:r w:rsidR="009972CA" w:rsidRPr="00032A49">
        <w:rPr>
          <w:sz w:val="24"/>
          <w:szCs w:val="24"/>
        </w:rPr>
        <w:t xml:space="preserve">to assist in </w:t>
      </w:r>
      <w:r w:rsidR="00302DFE" w:rsidRPr="00032A49">
        <w:rPr>
          <w:sz w:val="24"/>
          <w:szCs w:val="24"/>
        </w:rPr>
        <w:t>evaluat</w:t>
      </w:r>
      <w:r w:rsidR="005B24D0" w:rsidRPr="00032A49">
        <w:rPr>
          <w:sz w:val="24"/>
          <w:szCs w:val="24"/>
        </w:rPr>
        <w:t xml:space="preserve">ing </w:t>
      </w:r>
      <w:r w:rsidR="00302DFE" w:rsidRPr="00032A49">
        <w:rPr>
          <w:sz w:val="24"/>
          <w:szCs w:val="24"/>
        </w:rPr>
        <w:t>the Secretary</w:t>
      </w:r>
      <w:r w:rsidR="005B24D0" w:rsidRPr="00032A49">
        <w:rPr>
          <w:sz w:val="24"/>
          <w:szCs w:val="24"/>
        </w:rPr>
        <w:t xml:space="preserve"> in June</w:t>
      </w:r>
      <w:r w:rsidR="004E00A9" w:rsidRPr="00032A49">
        <w:rPr>
          <w:sz w:val="24"/>
          <w:szCs w:val="24"/>
        </w:rPr>
        <w:t xml:space="preserve"> of each year</w:t>
      </w:r>
      <w:r w:rsidR="00302DFE" w:rsidRPr="00032A49">
        <w:rPr>
          <w:sz w:val="24"/>
          <w:szCs w:val="24"/>
        </w:rPr>
        <w:t xml:space="preserve">.  </w:t>
      </w:r>
      <w:r w:rsidR="005B24D0" w:rsidRPr="00032A49">
        <w:rPr>
          <w:sz w:val="24"/>
          <w:szCs w:val="24"/>
        </w:rPr>
        <w:t xml:space="preserve">The Board </w:t>
      </w:r>
      <w:r w:rsidR="004E00A9" w:rsidRPr="00032A49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approved </w:t>
      </w:r>
      <w:r w:rsidR="008F2B2F">
        <w:rPr>
          <w:sz w:val="24"/>
          <w:szCs w:val="24"/>
        </w:rPr>
        <w:t xml:space="preserve">the use of </w:t>
      </w:r>
      <w:r>
        <w:rPr>
          <w:sz w:val="24"/>
          <w:szCs w:val="24"/>
        </w:rPr>
        <w:t>a</w:t>
      </w:r>
      <w:r w:rsidR="004E00A9" w:rsidRPr="00032A49">
        <w:rPr>
          <w:sz w:val="24"/>
          <w:szCs w:val="24"/>
        </w:rPr>
        <w:t xml:space="preserve"> </w:t>
      </w:r>
      <w:r w:rsidR="008F2B2F">
        <w:rPr>
          <w:sz w:val="24"/>
          <w:szCs w:val="24"/>
        </w:rPr>
        <w:t>m</w:t>
      </w:r>
      <w:r w:rsidR="008F2B2F" w:rsidRPr="00032A49">
        <w:rPr>
          <w:sz w:val="24"/>
          <w:szCs w:val="24"/>
        </w:rPr>
        <w:t xml:space="preserve">anagerial </w:t>
      </w:r>
      <w:r w:rsidR="008F2B2F">
        <w:rPr>
          <w:sz w:val="24"/>
          <w:szCs w:val="24"/>
        </w:rPr>
        <w:t>s</w:t>
      </w:r>
      <w:r w:rsidR="004E00A9" w:rsidRPr="00032A49">
        <w:rPr>
          <w:sz w:val="24"/>
          <w:szCs w:val="24"/>
        </w:rPr>
        <w:t>urvey</w:t>
      </w:r>
      <w:r>
        <w:rPr>
          <w:sz w:val="24"/>
          <w:szCs w:val="24"/>
        </w:rPr>
        <w:t xml:space="preserve"> as </w:t>
      </w:r>
      <w:r w:rsidR="00B571EA" w:rsidRPr="00032A49">
        <w:rPr>
          <w:sz w:val="24"/>
          <w:szCs w:val="24"/>
        </w:rPr>
        <w:t xml:space="preserve">a helpful tool </w:t>
      </w:r>
      <w:r>
        <w:rPr>
          <w:sz w:val="24"/>
          <w:szCs w:val="24"/>
        </w:rPr>
        <w:t>to</w:t>
      </w:r>
      <w:r w:rsidR="00B571EA" w:rsidRPr="00032A49">
        <w:rPr>
          <w:sz w:val="24"/>
          <w:szCs w:val="24"/>
        </w:rPr>
        <w:t xml:space="preserve"> provid</w:t>
      </w:r>
      <w:r>
        <w:rPr>
          <w:sz w:val="24"/>
          <w:szCs w:val="24"/>
        </w:rPr>
        <w:t>e</w:t>
      </w:r>
      <w:r w:rsidR="00B571EA" w:rsidRPr="00032A49">
        <w:rPr>
          <w:sz w:val="24"/>
          <w:szCs w:val="24"/>
        </w:rPr>
        <w:t xml:space="preserve"> additional information to consider </w:t>
      </w:r>
      <w:r w:rsidR="004A204D" w:rsidRPr="00032A49">
        <w:rPr>
          <w:sz w:val="24"/>
          <w:szCs w:val="24"/>
        </w:rPr>
        <w:t>as m</w:t>
      </w:r>
      <w:r w:rsidR="00AD5FA5">
        <w:rPr>
          <w:sz w:val="24"/>
          <w:szCs w:val="24"/>
        </w:rPr>
        <w:t>embers</w:t>
      </w:r>
      <w:r w:rsidR="004A204D" w:rsidRPr="00032A49">
        <w:rPr>
          <w:sz w:val="24"/>
          <w:szCs w:val="24"/>
        </w:rPr>
        <w:t xml:space="preserve"> </w:t>
      </w:r>
      <w:r w:rsidR="009972CA" w:rsidRPr="00032A49">
        <w:rPr>
          <w:sz w:val="24"/>
          <w:szCs w:val="24"/>
        </w:rPr>
        <w:t>evaluat</w:t>
      </w:r>
      <w:r w:rsidR="004A204D" w:rsidRPr="00032A49">
        <w:rPr>
          <w:sz w:val="24"/>
          <w:szCs w:val="24"/>
        </w:rPr>
        <w:t>ed</w:t>
      </w:r>
      <w:r w:rsidR="00B571EA" w:rsidRPr="00032A49">
        <w:rPr>
          <w:sz w:val="24"/>
          <w:szCs w:val="24"/>
        </w:rPr>
        <w:t xml:space="preserve"> the</w:t>
      </w:r>
      <w:r w:rsidR="009972CA" w:rsidRPr="00032A49">
        <w:rPr>
          <w:sz w:val="24"/>
          <w:szCs w:val="24"/>
        </w:rPr>
        <w:t xml:space="preserve"> Secretary</w:t>
      </w:r>
      <w:r w:rsidR="004A204D" w:rsidRPr="00032A49">
        <w:rPr>
          <w:sz w:val="24"/>
          <w:szCs w:val="24"/>
        </w:rPr>
        <w:t>’s performance</w:t>
      </w:r>
      <w:r w:rsidR="00B571EA" w:rsidRPr="00032A49">
        <w:rPr>
          <w:sz w:val="24"/>
          <w:szCs w:val="24"/>
        </w:rPr>
        <w:t xml:space="preserve">.  </w:t>
      </w:r>
      <w:r w:rsidR="00DE7F97" w:rsidRPr="00032A49">
        <w:rPr>
          <w:sz w:val="24"/>
          <w:szCs w:val="24"/>
        </w:rPr>
        <w:t xml:space="preserve">The </w:t>
      </w:r>
      <w:r w:rsidR="008F2B2F">
        <w:rPr>
          <w:sz w:val="24"/>
          <w:szCs w:val="24"/>
        </w:rPr>
        <w:t>s</w:t>
      </w:r>
      <w:r w:rsidR="008F2B2F" w:rsidRPr="00032A49">
        <w:rPr>
          <w:sz w:val="24"/>
          <w:szCs w:val="24"/>
        </w:rPr>
        <w:t xml:space="preserve">urvey </w:t>
      </w:r>
      <w:r w:rsidR="00B571EA" w:rsidRPr="00032A49">
        <w:rPr>
          <w:sz w:val="24"/>
          <w:szCs w:val="24"/>
        </w:rPr>
        <w:t xml:space="preserve">questions </w:t>
      </w:r>
      <w:r w:rsidR="008F2B2F">
        <w:rPr>
          <w:sz w:val="24"/>
          <w:szCs w:val="24"/>
        </w:rPr>
        <w:t>are</w:t>
      </w:r>
      <w:r w:rsidR="008F2B2F" w:rsidRPr="00032A49">
        <w:rPr>
          <w:sz w:val="24"/>
          <w:szCs w:val="24"/>
        </w:rPr>
        <w:t xml:space="preserve"> </w:t>
      </w:r>
      <w:r w:rsidR="00B571EA" w:rsidRPr="00032A49">
        <w:rPr>
          <w:sz w:val="24"/>
          <w:szCs w:val="24"/>
        </w:rPr>
        <w:t>align</w:t>
      </w:r>
      <w:r w:rsidR="00DE7F97" w:rsidRPr="00032A49">
        <w:rPr>
          <w:sz w:val="24"/>
          <w:szCs w:val="24"/>
        </w:rPr>
        <w:t>ed</w:t>
      </w:r>
      <w:r w:rsidR="00B571EA" w:rsidRPr="00032A49">
        <w:rPr>
          <w:sz w:val="24"/>
          <w:szCs w:val="24"/>
        </w:rPr>
        <w:t xml:space="preserve"> with the</w:t>
      </w:r>
      <w:r w:rsidR="003F3BB8" w:rsidRPr="00032A49">
        <w:rPr>
          <w:sz w:val="24"/>
          <w:szCs w:val="24"/>
        </w:rPr>
        <w:t xml:space="preserve"> </w:t>
      </w:r>
      <w:r w:rsidR="00DE7F97" w:rsidRPr="00032A49">
        <w:rPr>
          <w:sz w:val="24"/>
          <w:szCs w:val="24"/>
        </w:rPr>
        <w:t xml:space="preserve">categories on the </w:t>
      </w:r>
      <w:r w:rsidR="009E7225">
        <w:rPr>
          <w:sz w:val="24"/>
          <w:szCs w:val="24"/>
        </w:rPr>
        <w:t>performance</w:t>
      </w:r>
      <w:r w:rsidR="00B571EA" w:rsidRPr="00032A49">
        <w:rPr>
          <w:sz w:val="24"/>
          <w:szCs w:val="24"/>
        </w:rPr>
        <w:t xml:space="preserve"> evaluation</w:t>
      </w:r>
      <w:r w:rsidR="004A204D" w:rsidRPr="00032A49">
        <w:rPr>
          <w:sz w:val="24"/>
          <w:szCs w:val="24"/>
        </w:rPr>
        <w:t xml:space="preserve"> form</w:t>
      </w:r>
      <w:r>
        <w:rPr>
          <w:sz w:val="24"/>
          <w:szCs w:val="24"/>
        </w:rPr>
        <w:t xml:space="preserve"> and cover </w:t>
      </w:r>
      <w:r w:rsidR="009972CA" w:rsidRPr="00032A49">
        <w:rPr>
          <w:sz w:val="24"/>
          <w:szCs w:val="24"/>
        </w:rPr>
        <w:t>management of operations</w:t>
      </w:r>
      <w:r w:rsidR="00703505">
        <w:rPr>
          <w:sz w:val="24"/>
          <w:szCs w:val="24"/>
        </w:rPr>
        <w:t>,</w:t>
      </w:r>
      <w:r w:rsidR="00AD3EF2" w:rsidRPr="00032A49">
        <w:rPr>
          <w:sz w:val="24"/>
          <w:szCs w:val="24"/>
        </w:rPr>
        <w:t xml:space="preserve"> </w:t>
      </w:r>
      <w:r w:rsidR="009972CA" w:rsidRPr="00032A49">
        <w:rPr>
          <w:sz w:val="24"/>
          <w:szCs w:val="24"/>
        </w:rPr>
        <w:t>member/employer</w:t>
      </w:r>
      <w:r w:rsidR="00AD3EF2" w:rsidRPr="00032A49">
        <w:rPr>
          <w:sz w:val="24"/>
          <w:szCs w:val="24"/>
        </w:rPr>
        <w:t xml:space="preserve"> </w:t>
      </w:r>
      <w:r w:rsidR="009972CA" w:rsidRPr="00032A49">
        <w:rPr>
          <w:sz w:val="24"/>
          <w:szCs w:val="24"/>
        </w:rPr>
        <w:t>service</w:t>
      </w:r>
      <w:r w:rsidR="00B571EA" w:rsidRPr="00032A49">
        <w:rPr>
          <w:sz w:val="24"/>
          <w:szCs w:val="24"/>
        </w:rPr>
        <w:t>s</w:t>
      </w:r>
      <w:r w:rsidR="00703505">
        <w:rPr>
          <w:sz w:val="24"/>
          <w:szCs w:val="24"/>
        </w:rPr>
        <w:t>,</w:t>
      </w:r>
      <w:r w:rsidR="00AD3EF2" w:rsidRPr="00032A49">
        <w:rPr>
          <w:sz w:val="24"/>
          <w:szCs w:val="24"/>
        </w:rPr>
        <w:t xml:space="preserve"> </w:t>
      </w:r>
      <w:r w:rsidR="009972CA" w:rsidRPr="00032A49">
        <w:rPr>
          <w:sz w:val="24"/>
          <w:szCs w:val="24"/>
        </w:rPr>
        <w:t>external relations</w:t>
      </w:r>
      <w:r w:rsidR="00703505">
        <w:rPr>
          <w:sz w:val="24"/>
          <w:szCs w:val="24"/>
        </w:rPr>
        <w:t>,</w:t>
      </w:r>
      <w:r w:rsidR="00AD3EF2" w:rsidRPr="00032A49">
        <w:rPr>
          <w:sz w:val="24"/>
          <w:szCs w:val="24"/>
        </w:rPr>
        <w:t xml:space="preserve"> l</w:t>
      </w:r>
      <w:r w:rsidR="009972CA" w:rsidRPr="00032A49">
        <w:rPr>
          <w:sz w:val="24"/>
          <w:szCs w:val="24"/>
        </w:rPr>
        <w:t>eadership</w:t>
      </w:r>
      <w:r w:rsidR="00703505">
        <w:rPr>
          <w:sz w:val="24"/>
          <w:szCs w:val="24"/>
        </w:rPr>
        <w:t>,</w:t>
      </w:r>
      <w:r w:rsidR="009972CA" w:rsidRPr="00032A49">
        <w:rPr>
          <w:sz w:val="24"/>
          <w:szCs w:val="24"/>
        </w:rPr>
        <w:t xml:space="preserve"> and</w:t>
      </w:r>
      <w:r w:rsidR="00AD3EF2" w:rsidRPr="00032A49">
        <w:rPr>
          <w:sz w:val="24"/>
          <w:szCs w:val="24"/>
        </w:rPr>
        <w:t xml:space="preserve"> </w:t>
      </w:r>
      <w:r w:rsidR="009972CA" w:rsidRPr="00032A49">
        <w:rPr>
          <w:sz w:val="24"/>
          <w:szCs w:val="24"/>
        </w:rPr>
        <w:t xml:space="preserve">staff development.  </w:t>
      </w:r>
      <w:r w:rsidR="008F2B2F">
        <w:rPr>
          <w:sz w:val="24"/>
          <w:szCs w:val="24"/>
        </w:rPr>
        <w:t xml:space="preserve">The Board utilizes both of these documents in its yearly evaluation of the ETF Secretary.  </w:t>
      </w:r>
    </w:p>
    <w:p w:rsidR="008F2B2F" w:rsidRDefault="008F2B2F" w:rsidP="00AD3EF2">
      <w:pPr>
        <w:rPr>
          <w:sz w:val="24"/>
          <w:szCs w:val="24"/>
        </w:rPr>
      </w:pPr>
    </w:p>
    <w:p w:rsidR="00DA30BA" w:rsidRPr="00DA30BA" w:rsidRDefault="00DA30BA" w:rsidP="00AD3EF2">
      <w:pPr>
        <w:rPr>
          <w:b/>
          <w:sz w:val="24"/>
          <w:szCs w:val="24"/>
        </w:rPr>
      </w:pPr>
      <w:r w:rsidRPr="00DA30BA">
        <w:rPr>
          <w:b/>
          <w:sz w:val="24"/>
          <w:szCs w:val="24"/>
        </w:rPr>
        <w:t>Evaluation Changes</w:t>
      </w:r>
    </w:p>
    <w:p w:rsidR="006520BE" w:rsidRDefault="006520BE" w:rsidP="009972CA">
      <w:pPr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 w:rsidR="008F2B2F">
        <w:rPr>
          <w:sz w:val="24"/>
          <w:szCs w:val="24"/>
        </w:rPr>
        <w:t xml:space="preserve">June </w:t>
      </w:r>
      <w:r w:rsidR="009A1EBB">
        <w:rPr>
          <w:sz w:val="24"/>
          <w:szCs w:val="24"/>
        </w:rPr>
        <w:t>23</w:t>
      </w:r>
      <w:r w:rsidR="00CA7A93">
        <w:rPr>
          <w:sz w:val="24"/>
          <w:szCs w:val="24"/>
        </w:rPr>
        <w:t>, 2011</w:t>
      </w:r>
      <w:r w:rsidR="00703505">
        <w:rPr>
          <w:sz w:val="24"/>
          <w:szCs w:val="24"/>
        </w:rPr>
        <w:t>,</w:t>
      </w:r>
      <w:r w:rsidR="008F2B2F">
        <w:rPr>
          <w:sz w:val="24"/>
          <w:szCs w:val="24"/>
        </w:rPr>
        <w:t xml:space="preserve"> meeting, the Board did not suggest any </w:t>
      </w:r>
      <w:r w:rsidR="006E06EC">
        <w:rPr>
          <w:sz w:val="24"/>
          <w:szCs w:val="24"/>
        </w:rPr>
        <w:t xml:space="preserve">further </w:t>
      </w:r>
      <w:r w:rsidR="008F2B2F">
        <w:rPr>
          <w:sz w:val="24"/>
          <w:szCs w:val="24"/>
        </w:rPr>
        <w:t xml:space="preserve">changes to the </w:t>
      </w:r>
      <w:r w:rsidR="00926980">
        <w:rPr>
          <w:sz w:val="24"/>
          <w:szCs w:val="24"/>
        </w:rPr>
        <w:t xml:space="preserve">performance </w:t>
      </w:r>
      <w:r w:rsidR="006E06EC">
        <w:rPr>
          <w:sz w:val="24"/>
          <w:szCs w:val="24"/>
        </w:rPr>
        <w:t>evaluation form or survey</w:t>
      </w:r>
      <w:r w:rsidR="00926980">
        <w:rPr>
          <w:sz w:val="24"/>
          <w:szCs w:val="24"/>
        </w:rPr>
        <w:t xml:space="preserve"> for the June 201</w:t>
      </w:r>
      <w:r w:rsidR="00CA7A93">
        <w:rPr>
          <w:sz w:val="24"/>
          <w:szCs w:val="24"/>
        </w:rPr>
        <w:t>2</w:t>
      </w:r>
      <w:r w:rsidR="00926980">
        <w:rPr>
          <w:sz w:val="24"/>
          <w:szCs w:val="24"/>
        </w:rPr>
        <w:t xml:space="preserve"> evaluation</w:t>
      </w:r>
      <w:r w:rsidR="006E06EC">
        <w:rPr>
          <w:sz w:val="24"/>
          <w:szCs w:val="24"/>
        </w:rPr>
        <w:t>.</w:t>
      </w:r>
    </w:p>
    <w:p w:rsidR="006520BE" w:rsidRDefault="006520BE" w:rsidP="009972CA">
      <w:pPr>
        <w:rPr>
          <w:sz w:val="24"/>
          <w:szCs w:val="24"/>
        </w:rPr>
      </w:pPr>
    </w:p>
    <w:p w:rsidR="00DA30BA" w:rsidRPr="00DA30BA" w:rsidRDefault="00DA30BA" w:rsidP="009972CA">
      <w:pPr>
        <w:rPr>
          <w:b/>
          <w:sz w:val="24"/>
          <w:szCs w:val="24"/>
        </w:rPr>
      </w:pPr>
      <w:r w:rsidRPr="00DA30BA">
        <w:rPr>
          <w:b/>
          <w:sz w:val="24"/>
          <w:szCs w:val="24"/>
        </w:rPr>
        <w:t>Response Rates</w:t>
      </w:r>
    </w:p>
    <w:p w:rsidR="006520BE" w:rsidRPr="006520BE" w:rsidRDefault="006E06EC" w:rsidP="009972C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15893">
        <w:rPr>
          <w:sz w:val="24"/>
          <w:szCs w:val="24"/>
        </w:rPr>
        <w:t xml:space="preserve">managers’ </w:t>
      </w:r>
      <w:r>
        <w:rPr>
          <w:sz w:val="24"/>
          <w:szCs w:val="24"/>
        </w:rPr>
        <w:t xml:space="preserve">survey response rate </w:t>
      </w:r>
      <w:r w:rsidR="00CA7A93">
        <w:rPr>
          <w:sz w:val="24"/>
          <w:szCs w:val="24"/>
        </w:rPr>
        <w:t xml:space="preserve">in 2011 </w:t>
      </w:r>
      <w:r w:rsidR="006520BE">
        <w:rPr>
          <w:sz w:val="24"/>
          <w:szCs w:val="24"/>
        </w:rPr>
        <w:t xml:space="preserve">was </w:t>
      </w:r>
      <w:r w:rsidR="00E15893">
        <w:rPr>
          <w:sz w:val="24"/>
          <w:szCs w:val="24"/>
        </w:rPr>
        <w:t>93.6</w:t>
      </w:r>
      <w:r w:rsidR="006520BE">
        <w:rPr>
          <w:sz w:val="24"/>
          <w:szCs w:val="24"/>
        </w:rPr>
        <w:t>%.  This was a</w:t>
      </w:r>
      <w:r w:rsidR="00E15893">
        <w:rPr>
          <w:sz w:val="24"/>
          <w:szCs w:val="24"/>
        </w:rPr>
        <w:t>n</w:t>
      </w:r>
      <w:r w:rsidR="006520BE">
        <w:rPr>
          <w:sz w:val="24"/>
          <w:szCs w:val="24"/>
        </w:rPr>
        <w:t xml:space="preserve"> improvement</w:t>
      </w:r>
      <w:r>
        <w:rPr>
          <w:sz w:val="24"/>
          <w:szCs w:val="24"/>
        </w:rPr>
        <w:t xml:space="preserve"> from the prior year’s response rate of </w:t>
      </w:r>
      <w:r w:rsidR="00E15893">
        <w:rPr>
          <w:sz w:val="24"/>
          <w:szCs w:val="24"/>
        </w:rPr>
        <w:t>92.3</w:t>
      </w:r>
      <w:r w:rsidR="009A17BF">
        <w:rPr>
          <w:sz w:val="24"/>
          <w:szCs w:val="24"/>
        </w:rPr>
        <w:t xml:space="preserve">%.  </w:t>
      </w:r>
      <w:r w:rsidR="00CA7A93">
        <w:rPr>
          <w:sz w:val="24"/>
          <w:szCs w:val="24"/>
        </w:rPr>
        <w:t>Again this</w:t>
      </w:r>
      <w:r w:rsidR="009A17BF">
        <w:rPr>
          <w:sz w:val="24"/>
          <w:szCs w:val="24"/>
        </w:rPr>
        <w:t xml:space="preserve"> year, the survey cover letter to managers will indicate the Board would like 100% participation.</w:t>
      </w:r>
    </w:p>
    <w:p w:rsidR="006520BE" w:rsidRDefault="006520BE" w:rsidP="009972CA">
      <w:pPr>
        <w:rPr>
          <w:b/>
          <w:sz w:val="24"/>
          <w:szCs w:val="24"/>
        </w:rPr>
      </w:pPr>
    </w:p>
    <w:p w:rsidR="003B1A98" w:rsidRPr="00032A49" w:rsidRDefault="00AB3147" w:rsidP="009972CA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032A49">
        <w:rPr>
          <w:sz w:val="24"/>
          <w:szCs w:val="24"/>
        </w:rPr>
        <w:t xml:space="preserve"> </w:t>
      </w:r>
      <w:r w:rsidR="004A204D" w:rsidRPr="00032A49">
        <w:rPr>
          <w:sz w:val="24"/>
          <w:szCs w:val="24"/>
        </w:rPr>
        <w:t xml:space="preserve">will be available at the Executive Committee </w:t>
      </w:r>
      <w:r w:rsidR="007F2451">
        <w:rPr>
          <w:sz w:val="24"/>
          <w:szCs w:val="24"/>
        </w:rPr>
        <w:t xml:space="preserve">and </w:t>
      </w:r>
      <w:r w:rsidR="004A204D" w:rsidRPr="00032A49">
        <w:rPr>
          <w:sz w:val="24"/>
          <w:szCs w:val="24"/>
        </w:rPr>
        <w:t>ETF Board meeting</w:t>
      </w:r>
      <w:r w:rsidR="00530FEE">
        <w:rPr>
          <w:sz w:val="24"/>
          <w:szCs w:val="24"/>
        </w:rPr>
        <w:t xml:space="preserve"> to answer any </w:t>
      </w:r>
      <w:r w:rsidR="004A204D" w:rsidRPr="00032A49">
        <w:rPr>
          <w:sz w:val="24"/>
          <w:szCs w:val="24"/>
        </w:rPr>
        <w:t>questions</w:t>
      </w:r>
      <w:r w:rsidR="00703505">
        <w:rPr>
          <w:sz w:val="24"/>
          <w:szCs w:val="24"/>
        </w:rPr>
        <w:t xml:space="preserve"> you may have</w:t>
      </w:r>
      <w:r w:rsidR="004A204D" w:rsidRPr="00032A49">
        <w:rPr>
          <w:sz w:val="24"/>
          <w:szCs w:val="24"/>
        </w:rPr>
        <w:t>.</w:t>
      </w:r>
    </w:p>
    <w:p w:rsidR="004A204D" w:rsidRPr="00032A49" w:rsidRDefault="004A204D" w:rsidP="009972CA">
      <w:pPr>
        <w:rPr>
          <w:sz w:val="24"/>
          <w:szCs w:val="24"/>
        </w:rPr>
      </w:pPr>
    </w:p>
    <w:p w:rsidR="004A204D" w:rsidRPr="00032A49" w:rsidRDefault="004A204D" w:rsidP="00E41D03">
      <w:pPr>
        <w:tabs>
          <w:tab w:val="left" w:pos="1620"/>
        </w:tabs>
        <w:rPr>
          <w:sz w:val="24"/>
          <w:szCs w:val="24"/>
        </w:rPr>
      </w:pPr>
      <w:r w:rsidRPr="00032A49">
        <w:rPr>
          <w:sz w:val="24"/>
          <w:szCs w:val="24"/>
        </w:rPr>
        <w:t>Attachment</w:t>
      </w:r>
      <w:r w:rsidR="00E41D03">
        <w:rPr>
          <w:sz w:val="24"/>
          <w:szCs w:val="24"/>
        </w:rPr>
        <w:t>s</w:t>
      </w:r>
      <w:r w:rsidRPr="00032A49">
        <w:rPr>
          <w:sz w:val="24"/>
          <w:szCs w:val="24"/>
        </w:rPr>
        <w:t>:</w:t>
      </w:r>
      <w:r w:rsidR="00095DC6" w:rsidRPr="00032A49">
        <w:rPr>
          <w:sz w:val="24"/>
          <w:szCs w:val="24"/>
        </w:rPr>
        <w:tab/>
      </w:r>
      <w:r w:rsidRPr="00032A49">
        <w:rPr>
          <w:sz w:val="24"/>
          <w:szCs w:val="24"/>
        </w:rPr>
        <w:t xml:space="preserve">A. </w:t>
      </w:r>
      <w:r w:rsidR="00CA7A93">
        <w:rPr>
          <w:sz w:val="24"/>
          <w:szCs w:val="24"/>
        </w:rPr>
        <w:t xml:space="preserve">2012 </w:t>
      </w:r>
      <w:r w:rsidR="00323469">
        <w:rPr>
          <w:sz w:val="24"/>
          <w:szCs w:val="24"/>
        </w:rPr>
        <w:t>S</w:t>
      </w:r>
      <w:r w:rsidR="00887537" w:rsidRPr="00032A49">
        <w:rPr>
          <w:sz w:val="24"/>
          <w:szCs w:val="24"/>
        </w:rPr>
        <w:t>teps/</w:t>
      </w:r>
      <w:r w:rsidRPr="00032A49">
        <w:rPr>
          <w:sz w:val="24"/>
          <w:szCs w:val="24"/>
        </w:rPr>
        <w:t>Timeline</w:t>
      </w:r>
    </w:p>
    <w:p w:rsidR="004A204D" w:rsidRDefault="00095DC6" w:rsidP="00E41D03">
      <w:pPr>
        <w:tabs>
          <w:tab w:val="left" w:pos="1620"/>
        </w:tabs>
        <w:rPr>
          <w:sz w:val="24"/>
          <w:szCs w:val="24"/>
        </w:rPr>
      </w:pPr>
      <w:r w:rsidRPr="00032A49">
        <w:rPr>
          <w:sz w:val="24"/>
          <w:szCs w:val="24"/>
        </w:rPr>
        <w:tab/>
      </w:r>
      <w:r w:rsidR="004A204D" w:rsidRPr="00032A49">
        <w:rPr>
          <w:sz w:val="24"/>
          <w:szCs w:val="24"/>
        </w:rPr>
        <w:t>B. Managerial Survey</w:t>
      </w:r>
    </w:p>
    <w:p w:rsidR="003B1A98" w:rsidRPr="00DA30BA" w:rsidRDefault="00C93E91" w:rsidP="00DA30BA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C. Secretary’s Annual Performance Review</w:t>
      </w:r>
    </w:p>
    <w:p w:rsidR="009A17BF" w:rsidRDefault="007F2451" w:rsidP="009A17BF">
      <w:pPr>
        <w:pStyle w:val="BodyTextIndent"/>
        <w:ind w:left="0"/>
      </w:pPr>
      <w:r>
        <w:br w:type="page"/>
      </w:r>
      <w:r w:rsidR="009A17BF">
        <w:lastRenderedPageBreak/>
        <w:t>Attachment A</w:t>
      </w:r>
    </w:p>
    <w:p w:rsidR="009A17BF" w:rsidRDefault="009A17BF" w:rsidP="009A17BF">
      <w:pPr>
        <w:pStyle w:val="BodyTextIndent"/>
        <w:ind w:left="0"/>
      </w:pPr>
    </w:p>
    <w:p w:rsidR="009A17BF" w:rsidRDefault="009A17BF" w:rsidP="009A17BF">
      <w:pPr>
        <w:pStyle w:val="BodyTextIndent"/>
        <w:ind w:left="0"/>
      </w:pPr>
    </w:p>
    <w:p w:rsidR="009A17BF" w:rsidRPr="003F3BB8" w:rsidRDefault="009A17BF" w:rsidP="009A17BF">
      <w:pPr>
        <w:pStyle w:val="BodyTextIndent"/>
        <w:ind w:left="0"/>
        <w:jc w:val="center"/>
        <w:rPr>
          <w:b/>
          <w:sz w:val="24"/>
          <w:szCs w:val="24"/>
        </w:rPr>
      </w:pPr>
      <w:r w:rsidRPr="003F3BB8">
        <w:rPr>
          <w:b/>
          <w:sz w:val="24"/>
          <w:szCs w:val="24"/>
        </w:rPr>
        <w:t xml:space="preserve">Proposed Steps/Timelines </w:t>
      </w:r>
    </w:p>
    <w:p w:rsidR="009A17BF" w:rsidRPr="003F3BB8" w:rsidRDefault="009A17BF" w:rsidP="009A17BF">
      <w:pPr>
        <w:pStyle w:val="BodyTextIndent"/>
        <w:ind w:left="0"/>
        <w:jc w:val="center"/>
        <w:rPr>
          <w:b/>
          <w:sz w:val="24"/>
          <w:szCs w:val="24"/>
        </w:rPr>
      </w:pPr>
      <w:r w:rsidRPr="003F3BB8">
        <w:rPr>
          <w:b/>
          <w:sz w:val="24"/>
          <w:szCs w:val="24"/>
        </w:rPr>
        <w:t>ETF Secretary Evaluation Process and Managerial Survey</w:t>
      </w:r>
    </w:p>
    <w:p w:rsidR="009A17BF" w:rsidRPr="003F3BB8" w:rsidRDefault="009A17BF" w:rsidP="009A17BF">
      <w:pPr>
        <w:pStyle w:val="BodyTextInden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CA7A93">
        <w:rPr>
          <w:b/>
          <w:sz w:val="24"/>
          <w:szCs w:val="24"/>
        </w:rPr>
        <w:t>8</w:t>
      </w:r>
      <w:r w:rsidRPr="003F3BB8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1</w:t>
      </w:r>
      <w:r w:rsidR="00CA7A93">
        <w:rPr>
          <w:b/>
          <w:sz w:val="24"/>
          <w:szCs w:val="24"/>
        </w:rPr>
        <w:t>2</w:t>
      </w:r>
    </w:p>
    <w:p w:rsidR="009A17BF" w:rsidRPr="003F3BB8" w:rsidRDefault="009A17BF" w:rsidP="009A17BF">
      <w:pPr>
        <w:pStyle w:val="BodyTextIndent"/>
        <w:ind w:left="0"/>
        <w:jc w:val="center"/>
        <w:rPr>
          <w:sz w:val="24"/>
          <w:szCs w:val="24"/>
        </w:rPr>
      </w:pPr>
    </w:p>
    <w:p w:rsidR="009A17BF" w:rsidRDefault="009A17BF" w:rsidP="009A17BF">
      <w:pPr>
        <w:pStyle w:val="BodyTextIndent"/>
        <w:ind w:left="0"/>
      </w:pPr>
    </w:p>
    <w:tbl>
      <w:tblPr>
        <w:tblW w:w="103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6750"/>
        <w:gridCol w:w="2430"/>
      </w:tblGrid>
      <w:tr w:rsidR="009A17BF" w:rsidTr="006509E1">
        <w:tc>
          <w:tcPr>
            <w:tcW w:w="1170" w:type="dxa"/>
          </w:tcPr>
          <w:p w:rsidR="009A17BF" w:rsidRDefault="009A17BF" w:rsidP="006509E1">
            <w:pPr>
              <w:pStyle w:val="BodyTextIndent"/>
              <w:ind w:left="0"/>
            </w:pPr>
          </w:p>
          <w:p w:rsidR="009A17BF" w:rsidRPr="004A204D" w:rsidRDefault="00386C5A" w:rsidP="00386C5A">
            <w:pPr>
              <w:pStyle w:val="BodyTextInden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="009A17BF" w:rsidRPr="004A204D">
              <w:rPr>
                <w:b/>
              </w:rPr>
              <w:t>Month</w:t>
            </w:r>
          </w:p>
        </w:tc>
        <w:tc>
          <w:tcPr>
            <w:tcW w:w="6750" w:type="dxa"/>
          </w:tcPr>
          <w:p w:rsidR="009A17BF" w:rsidRDefault="009A17BF" w:rsidP="006509E1">
            <w:pPr>
              <w:pStyle w:val="BodyTextIndent"/>
              <w:ind w:left="342"/>
            </w:pPr>
          </w:p>
          <w:p w:rsidR="009A17BF" w:rsidRDefault="009A17BF" w:rsidP="006509E1">
            <w:pPr>
              <w:pStyle w:val="BodyTextIndent"/>
              <w:ind w:left="342"/>
              <w:jc w:val="center"/>
              <w:rPr>
                <w:b/>
              </w:rPr>
            </w:pPr>
            <w:r w:rsidRPr="004A204D">
              <w:rPr>
                <w:b/>
              </w:rPr>
              <w:t>Steps</w:t>
            </w:r>
            <w:r w:rsidR="00882643">
              <w:rPr>
                <w:b/>
              </w:rPr>
              <w:t xml:space="preserve"> </w:t>
            </w:r>
          </w:p>
          <w:p w:rsidR="00882643" w:rsidRDefault="00882643" w:rsidP="006509E1">
            <w:pPr>
              <w:pStyle w:val="BodyTextIndent"/>
              <w:ind w:left="342"/>
              <w:jc w:val="center"/>
              <w:rPr>
                <w:b/>
              </w:rPr>
            </w:pPr>
            <w:r>
              <w:rPr>
                <w:b/>
              </w:rPr>
              <w:t>(ETF Executive Committee/Board Actions in Yellow)</w:t>
            </w:r>
          </w:p>
          <w:p w:rsidR="00882643" w:rsidRPr="004A204D" w:rsidRDefault="00882643" w:rsidP="006509E1">
            <w:pPr>
              <w:pStyle w:val="BodyTextIndent"/>
              <w:ind w:left="342"/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9A17BF" w:rsidRDefault="009A17BF" w:rsidP="006509E1">
            <w:pPr>
              <w:pStyle w:val="BodyTextIndent"/>
              <w:ind w:left="0"/>
            </w:pPr>
          </w:p>
          <w:p w:rsidR="009A17BF" w:rsidRPr="004A204D" w:rsidRDefault="009A17BF" w:rsidP="006509E1">
            <w:pPr>
              <w:pStyle w:val="BodyTextIndent"/>
              <w:ind w:left="0"/>
              <w:jc w:val="center"/>
              <w:rPr>
                <w:b/>
              </w:rPr>
            </w:pPr>
            <w:r w:rsidRPr="004A204D">
              <w:rPr>
                <w:b/>
              </w:rPr>
              <w:t>Responsibility</w:t>
            </w:r>
          </w:p>
          <w:p w:rsidR="009A17BF" w:rsidRDefault="009A17BF" w:rsidP="006509E1">
            <w:pPr>
              <w:pStyle w:val="BodyTextIndent"/>
              <w:ind w:left="0"/>
            </w:pPr>
          </w:p>
        </w:tc>
      </w:tr>
      <w:tr w:rsidR="009A17BF" w:rsidTr="006509E1">
        <w:tc>
          <w:tcPr>
            <w:tcW w:w="1170" w:type="dxa"/>
          </w:tcPr>
          <w:p w:rsidR="009A17BF" w:rsidRDefault="009A17BF" w:rsidP="006509E1">
            <w:pPr>
              <w:pStyle w:val="BodyTextIndent"/>
              <w:ind w:left="0"/>
            </w:pPr>
            <w:r>
              <w:t>March</w:t>
            </w:r>
          </w:p>
        </w:tc>
        <w:tc>
          <w:tcPr>
            <w:tcW w:w="6750" w:type="dxa"/>
          </w:tcPr>
          <w:p w:rsidR="009A17BF" w:rsidRDefault="009A17BF" w:rsidP="006509E1">
            <w:pPr>
              <w:pStyle w:val="BodyTextIndent"/>
              <w:ind w:left="0"/>
            </w:pPr>
            <w:r w:rsidRPr="000B4C84">
              <w:rPr>
                <w:highlight w:val="yellow"/>
              </w:rPr>
              <w:t>Review managerial survey.</w:t>
            </w:r>
          </w:p>
          <w:p w:rsidR="009A17BF" w:rsidRDefault="009A17BF" w:rsidP="006509E1">
            <w:pPr>
              <w:pStyle w:val="BodyTextIndent"/>
              <w:ind w:left="0"/>
            </w:pPr>
          </w:p>
          <w:p w:rsidR="009A17BF" w:rsidRDefault="009A17BF" w:rsidP="00FA7F8E">
            <w:pPr>
              <w:pStyle w:val="BodyTextIndent"/>
              <w:ind w:left="0"/>
            </w:pPr>
            <w:r>
              <w:t>Finalize survey with input from Board and distribute electronic survey to managers by 3/2</w:t>
            </w:r>
            <w:r w:rsidR="00FA7F8E">
              <w:t>6</w:t>
            </w:r>
            <w:r>
              <w:t>.</w:t>
            </w:r>
            <w:r w:rsidR="003161AC">
              <w:br/>
            </w:r>
          </w:p>
        </w:tc>
        <w:tc>
          <w:tcPr>
            <w:tcW w:w="2430" w:type="dxa"/>
          </w:tcPr>
          <w:p w:rsidR="009A17BF" w:rsidRDefault="009A17BF" w:rsidP="006509E1">
            <w:pPr>
              <w:pStyle w:val="BodyTextIndent"/>
              <w:ind w:left="0"/>
            </w:pPr>
            <w:r w:rsidRPr="000B4C84">
              <w:rPr>
                <w:highlight w:val="yellow"/>
              </w:rPr>
              <w:t>Board</w:t>
            </w:r>
          </w:p>
          <w:p w:rsidR="009A17BF" w:rsidRDefault="009A17BF" w:rsidP="006509E1">
            <w:pPr>
              <w:pStyle w:val="BodyTextIndent"/>
              <w:ind w:left="0"/>
            </w:pPr>
          </w:p>
          <w:p w:rsidR="009A17BF" w:rsidRDefault="00FA7F8E" w:rsidP="006509E1">
            <w:pPr>
              <w:pStyle w:val="BodyTextIndent"/>
              <w:ind w:left="0"/>
            </w:pPr>
            <w:r>
              <w:t xml:space="preserve">DMS Administrator </w:t>
            </w:r>
          </w:p>
          <w:p w:rsidR="009A17BF" w:rsidRDefault="009A17BF" w:rsidP="006509E1">
            <w:pPr>
              <w:pStyle w:val="BodyTextIndent"/>
              <w:ind w:left="0"/>
            </w:pPr>
          </w:p>
        </w:tc>
      </w:tr>
      <w:tr w:rsidR="009A17BF" w:rsidTr="006509E1">
        <w:tc>
          <w:tcPr>
            <w:tcW w:w="1170" w:type="dxa"/>
          </w:tcPr>
          <w:p w:rsidR="009A17BF" w:rsidRDefault="009A17BF" w:rsidP="006509E1">
            <w:pPr>
              <w:pStyle w:val="BodyTextIndent"/>
              <w:ind w:left="0"/>
            </w:pPr>
            <w:r>
              <w:t>April</w:t>
            </w:r>
          </w:p>
        </w:tc>
        <w:tc>
          <w:tcPr>
            <w:tcW w:w="6750" w:type="dxa"/>
          </w:tcPr>
          <w:p w:rsidR="009A17BF" w:rsidRDefault="009A17BF" w:rsidP="006509E1">
            <w:pPr>
              <w:pStyle w:val="BodyTextIndent"/>
              <w:ind w:left="0"/>
            </w:pPr>
            <w:r>
              <w:t>Compile managerial survey results and prepare summary for HR Director; review by 4/2</w:t>
            </w:r>
            <w:r w:rsidR="009F24EE">
              <w:t>3</w:t>
            </w:r>
            <w:r>
              <w:t>.</w:t>
            </w:r>
          </w:p>
          <w:p w:rsidR="009A17BF" w:rsidRDefault="009A17BF" w:rsidP="006509E1">
            <w:pPr>
              <w:pStyle w:val="BodyTextIndent"/>
              <w:ind w:left="0"/>
            </w:pPr>
          </w:p>
          <w:p w:rsidR="009A17BF" w:rsidRDefault="009A17BF" w:rsidP="009F24EE">
            <w:pPr>
              <w:pStyle w:val="BodyTextIndent"/>
              <w:ind w:left="0"/>
            </w:pPr>
            <w:r w:rsidRPr="000B4C84">
              <w:rPr>
                <w:highlight w:val="yellow"/>
              </w:rPr>
              <w:t xml:space="preserve">Distribute draft managerial survey report to Executive Committee for review/comments </w:t>
            </w:r>
            <w:r>
              <w:rPr>
                <w:highlight w:val="yellow"/>
              </w:rPr>
              <w:t>by 4/</w:t>
            </w:r>
            <w:r w:rsidR="009F24EE">
              <w:rPr>
                <w:highlight w:val="yellow"/>
              </w:rPr>
              <w:t>30</w:t>
            </w:r>
            <w:r w:rsidRPr="000B4C84">
              <w:rPr>
                <w:highlight w:val="yellow"/>
              </w:rPr>
              <w:t>.</w:t>
            </w:r>
          </w:p>
        </w:tc>
        <w:tc>
          <w:tcPr>
            <w:tcW w:w="2430" w:type="dxa"/>
          </w:tcPr>
          <w:p w:rsidR="009A17BF" w:rsidRDefault="009A17BF" w:rsidP="006509E1">
            <w:pPr>
              <w:pStyle w:val="BodyTextIndent"/>
              <w:ind w:left="0"/>
            </w:pPr>
            <w:r>
              <w:t>Survey staff/HR Director</w:t>
            </w:r>
          </w:p>
          <w:p w:rsidR="009A17BF" w:rsidRDefault="009A17BF" w:rsidP="006509E1">
            <w:pPr>
              <w:pStyle w:val="BodyTextIndent"/>
              <w:ind w:left="0"/>
            </w:pPr>
          </w:p>
          <w:p w:rsidR="009A17BF" w:rsidRDefault="009A17BF" w:rsidP="006509E1">
            <w:pPr>
              <w:pStyle w:val="BodyTextIndent"/>
              <w:ind w:left="0"/>
            </w:pPr>
            <w:r w:rsidRPr="000B4C84">
              <w:rPr>
                <w:highlight w:val="yellow"/>
              </w:rPr>
              <w:t>HR Director/Executive Committee</w:t>
            </w:r>
            <w:r w:rsidR="003161AC">
              <w:br/>
            </w:r>
          </w:p>
        </w:tc>
      </w:tr>
      <w:tr w:rsidR="009A17BF" w:rsidTr="006509E1">
        <w:tc>
          <w:tcPr>
            <w:tcW w:w="1170" w:type="dxa"/>
          </w:tcPr>
          <w:p w:rsidR="009A17BF" w:rsidRDefault="009A17BF" w:rsidP="006509E1">
            <w:pPr>
              <w:pStyle w:val="BodyTextIndent"/>
              <w:ind w:left="0"/>
            </w:pPr>
            <w:r>
              <w:t>May</w:t>
            </w:r>
          </w:p>
        </w:tc>
        <w:tc>
          <w:tcPr>
            <w:tcW w:w="6750" w:type="dxa"/>
          </w:tcPr>
          <w:p w:rsidR="009A17BF" w:rsidRPr="000B4C84" w:rsidRDefault="009A17BF" w:rsidP="006509E1">
            <w:pPr>
              <w:pStyle w:val="BodyTextIndent"/>
              <w:ind w:left="0"/>
            </w:pPr>
            <w:r w:rsidRPr="000B4C84">
              <w:rPr>
                <w:highlight w:val="yellow"/>
              </w:rPr>
              <w:t>Incorporate Executive Committee comments and finalize the managerial survey report by 5/</w:t>
            </w:r>
            <w:r w:rsidR="009F24EE">
              <w:rPr>
                <w:highlight w:val="yellow"/>
              </w:rPr>
              <w:t>7</w:t>
            </w:r>
            <w:r w:rsidRPr="000B4C84">
              <w:rPr>
                <w:highlight w:val="yellow"/>
              </w:rPr>
              <w:t>.</w:t>
            </w:r>
          </w:p>
          <w:p w:rsidR="009A17BF" w:rsidRPr="000B4C84" w:rsidRDefault="009A17BF" w:rsidP="006509E1">
            <w:pPr>
              <w:pStyle w:val="BodyTextIndent"/>
              <w:ind w:left="0"/>
            </w:pPr>
          </w:p>
          <w:p w:rsidR="009A17BF" w:rsidRPr="000B4C84" w:rsidRDefault="009A17BF" w:rsidP="006509E1">
            <w:pPr>
              <w:pStyle w:val="BodyTextIndent"/>
              <w:ind w:left="0"/>
            </w:pPr>
            <w:r w:rsidRPr="000B4C84">
              <w:t xml:space="preserve">Distribute final managerial survey report and Secretary performance evaluation template </w:t>
            </w:r>
            <w:r w:rsidRPr="009F24EE">
              <w:rPr>
                <w:b/>
                <w:u w:val="single"/>
              </w:rPr>
              <w:t>to Board by 5/</w:t>
            </w:r>
            <w:r w:rsidR="009F24EE" w:rsidRPr="009F24EE">
              <w:rPr>
                <w:b/>
                <w:u w:val="single"/>
              </w:rPr>
              <w:t>18</w:t>
            </w:r>
            <w:r w:rsidRPr="000B4C84">
              <w:t>.  Include Secretary’s annual accomplishments and his/her response to overall performance expectations for the fiscal year.</w:t>
            </w:r>
          </w:p>
          <w:p w:rsidR="009A17BF" w:rsidRPr="000B4C84" w:rsidRDefault="009A17BF" w:rsidP="006509E1">
            <w:pPr>
              <w:pStyle w:val="BodyTextIndent"/>
              <w:ind w:left="0"/>
            </w:pPr>
          </w:p>
          <w:p w:rsidR="009A17BF" w:rsidRPr="000B4C84" w:rsidRDefault="009A17BF" w:rsidP="006509E1">
            <w:pPr>
              <w:pStyle w:val="BodyTextIndent"/>
              <w:ind w:left="0"/>
            </w:pPr>
            <w:r w:rsidRPr="000B4C84">
              <w:rPr>
                <w:highlight w:val="yellow"/>
              </w:rPr>
              <w:t xml:space="preserve">Return completed Secretary performance evaluation forms to HR Director by </w:t>
            </w:r>
            <w:r w:rsidR="009F24EE">
              <w:rPr>
                <w:highlight w:val="yellow"/>
              </w:rPr>
              <w:t>6/1</w:t>
            </w:r>
            <w:r w:rsidRPr="000B4C84">
              <w:rPr>
                <w:highlight w:val="yellow"/>
              </w:rPr>
              <w:t>.</w:t>
            </w:r>
          </w:p>
          <w:p w:rsidR="009A17BF" w:rsidRPr="000B4C84" w:rsidRDefault="009A17BF" w:rsidP="006509E1">
            <w:pPr>
              <w:pStyle w:val="BodyTextIndent"/>
              <w:ind w:left="0"/>
            </w:pPr>
          </w:p>
        </w:tc>
        <w:tc>
          <w:tcPr>
            <w:tcW w:w="2430" w:type="dxa"/>
          </w:tcPr>
          <w:p w:rsidR="009A17BF" w:rsidRPr="000B4C84" w:rsidRDefault="009A17BF" w:rsidP="006509E1">
            <w:pPr>
              <w:pStyle w:val="BodyTextIndent"/>
              <w:ind w:left="-18" w:firstLine="18"/>
            </w:pPr>
            <w:r w:rsidRPr="000B4C84">
              <w:rPr>
                <w:highlight w:val="yellow"/>
              </w:rPr>
              <w:t>HR Director/Executive Committee</w:t>
            </w:r>
          </w:p>
          <w:p w:rsidR="009A17BF" w:rsidRPr="000B4C84" w:rsidRDefault="009A17BF" w:rsidP="006509E1">
            <w:pPr>
              <w:pStyle w:val="BodyTextIndent"/>
              <w:ind w:left="-18" w:firstLine="18"/>
            </w:pPr>
          </w:p>
          <w:p w:rsidR="009A17BF" w:rsidRPr="000B4C84" w:rsidRDefault="009A17BF" w:rsidP="006509E1">
            <w:pPr>
              <w:pStyle w:val="BodyTextIndent"/>
              <w:ind w:left="-18" w:firstLine="18"/>
            </w:pPr>
            <w:r w:rsidRPr="000B4C84">
              <w:t>HR Director</w:t>
            </w:r>
          </w:p>
          <w:p w:rsidR="009A17BF" w:rsidRPr="000B4C84" w:rsidRDefault="009A17BF" w:rsidP="006509E1">
            <w:pPr>
              <w:pStyle w:val="BodyTextIndent"/>
              <w:ind w:left="-18" w:firstLine="18"/>
            </w:pPr>
          </w:p>
          <w:p w:rsidR="009A17BF" w:rsidRPr="000B4C84" w:rsidRDefault="009A17BF" w:rsidP="006509E1">
            <w:pPr>
              <w:pStyle w:val="BodyTextIndent"/>
              <w:ind w:left="-18" w:firstLine="18"/>
            </w:pPr>
          </w:p>
          <w:p w:rsidR="009A17BF" w:rsidRPr="000B4C84" w:rsidRDefault="009A17BF" w:rsidP="006509E1">
            <w:pPr>
              <w:pStyle w:val="BodyTextIndent"/>
              <w:ind w:left="-18" w:firstLine="18"/>
            </w:pPr>
          </w:p>
          <w:p w:rsidR="009A17BF" w:rsidRPr="000B4C84" w:rsidRDefault="009A17BF" w:rsidP="006509E1">
            <w:pPr>
              <w:pStyle w:val="BodyTextIndent"/>
              <w:ind w:left="-18" w:firstLine="18"/>
            </w:pPr>
          </w:p>
          <w:p w:rsidR="009A17BF" w:rsidRPr="000B4C84" w:rsidRDefault="009A17BF" w:rsidP="006509E1">
            <w:pPr>
              <w:pStyle w:val="BodyTextIndent"/>
              <w:ind w:left="-18" w:firstLine="18"/>
            </w:pPr>
            <w:r w:rsidRPr="000B4C84">
              <w:rPr>
                <w:highlight w:val="yellow"/>
              </w:rPr>
              <w:t>Board</w:t>
            </w:r>
          </w:p>
          <w:p w:rsidR="009A17BF" w:rsidRPr="000B4C84" w:rsidRDefault="009A17BF" w:rsidP="006509E1">
            <w:pPr>
              <w:pStyle w:val="BodyTextIndent"/>
              <w:ind w:left="-18" w:firstLine="18"/>
            </w:pPr>
          </w:p>
          <w:p w:rsidR="009A17BF" w:rsidRPr="000B4C84" w:rsidRDefault="009A17BF" w:rsidP="006509E1">
            <w:pPr>
              <w:pStyle w:val="BodyTextIndent"/>
              <w:ind w:left="-18" w:firstLine="18"/>
            </w:pPr>
          </w:p>
        </w:tc>
      </w:tr>
      <w:tr w:rsidR="009A17BF" w:rsidTr="006509E1">
        <w:tc>
          <w:tcPr>
            <w:tcW w:w="1170" w:type="dxa"/>
          </w:tcPr>
          <w:p w:rsidR="009A17BF" w:rsidRDefault="009A17BF" w:rsidP="006509E1">
            <w:pPr>
              <w:pStyle w:val="BodyTextIndent"/>
              <w:ind w:left="0"/>
            </w:pPr>
            <w:r>
              <w:t>June</w:t>
            </w:r>
          </w:p>
        </w:tc>
        <w:tc>
          <w:tcPr>
            <w:tcW w:w="6750" w:type="dxa"/>
          </w:tcPr>
          <w:p w:rsidR="009A17BF" w:rsidRDefault="009A17BF" w:rsidP="006509E1">
            <w:pPr>
              <w:pStyle w:val="BodyTextIndent"/>
              <w:ind w:left="0"/>
              <w:rPr>
                <w:highlight w:val="yellow"/>
              </w:rPr>
            </w:pPr>
            <w:r w:rsidRPr="000B4C84">
              <w:t xml:space="preserve">Compile and summarize the Board’s evaluation results and send results to the Executive Committee by </w:t>
            </w:r>
            <w:r w:rsidR="009F24EE">
              <w:t>6/8</w:t>
            </w:r>
            <w:r w:rsidRPr="000B4C84">
              <w:t xml:space="preserve"> for review and comments.</w:t>
            </w:r>
          </w:p>
          <w:p w:rsidR="009A17BF" w:rsidRDefault="009A17BF" w:rsidP="006509E1">
            <w:pPr>
              <w:pStyle w:val="BodyTextIndent"/>
              <w:ind w:left="0"/>
              <w:rPr>
                <w:highlight w:val="yellow"/>
              </w:rPr>
            </w:pPr>
          </w:p>
          <w:p w:rsidR="009A17BF" w:rsidRDefault="009A17BF" w:rsidP="006509E1">
            <w:pPr>
              <w:pStyle w:val="BodyTextIndent"/>
              <w:ind w:left="0"/>
            </w:pPr>
            <w:r w:rsidRPr="000B4C84">
              <w:rPr>
                <w:highlight w:val="yellow"/>
              </w:rPr>
              <w:t xml:space="preserve">Executive Committee meets or conducts a conference call to discuss results of the Board evaluations by </w:t>
            </w:r>
            <w:r w:rsidR="009F24EE">
              <w:rPr>
                <w:highlight w:val="yellow"/>
              </w:rPr>
              <w:t>6/15</w:t>
            </w:r>
            <w:r w:rsidRPr="00DA168F">
              <w:rPr>
                <w:highlight w:val="yellow"/>
              </w:rPr>
              <w:t>.</w:t>
            </w:r>
          </w:p>
          <w:p w:rsidR="009A17BF" w:rsidRDefault="009A17BF" w:rsidP="006509E1">
            <w:pPr>
              <w:pStyle w:val="BodyTextIndent"/>
              <w:ind w:left="0"/>
            </w:pPr>
            <w:r>
              <w:t xml:space="preserve">   </w:t>
            </w:r>
          </w:p>
          <w:p w:rsidR="009A17BF" w:rsidRDefault="009A17BF" w:rsidP="006509E1">
            <w:pPr>
              <w:pStyle w:val="BodyTextIndent"/>
              <w:ind w:left="0"/>
            </w:pPr>
            <w:r>
              <w:t>Distribute performance evaluation results to Executive Committee and Board prior to the June Board meeting by mail or e-mail.</w:t>
            </w:r>
          </w:p>
          <w:p w:rsidR="009A17BF" w:rsidRDefault="009A17BF" w:rsidP="006509E1">
            <w:pPr>
              <w:pStyle w:val="BodyTextIndent"/>
              <w:ind w:left="0"/>
            </w:pPr>
            <w:r>
              <w:t xml:space="preserve">  </w:t>
            </w:r>
          </w:p>
          <w:p w:rsidR="009A17BF" w:rsidRDefault="009A17BF" w:rsidP="009F24EE">
            <w:pPr>
              <w:pStyle w:val="BodyTextIndent"/>
              <w:ind w:left="0"/>
            </w:pPr>
            <w:r w:rsidRPr="000B4C84">
              <w:rPr>
                <w:highlight w:val="yellow"/>
              </w:rPr>
              <w:t xml:space="preserve">Board conducts a performance evaluation review of the Secretary at the June </w:t>
            </w:r>
            <w:r>
              <w:rPr>
                <w:highlight w:val="yellow"/>
              </w:rPr>
              <w:t>2</w:t>
            </w:r>
            <w:r w:rsidR="009F24EE">
              <w:rPr>
                <w:highlight w:val="yellow"/>
              </w:rPr>
              <w:t>1</w:t>
            </w:r>
            <w:r>
              <w:rPr>
                <w:highlight w:val="yellow"/>
              </w:rPr>
              <w:t xml:space="preserve"> </w:t>
            </w:r>
            <w:r w:rsidRPr="000B4C84">
              <w:rPr>
                <w:highlight w:val="yellow"/>
              </w:rPr>
              <w:t>meeting.</w:t>
            </w:r>
          </w:p>
        </w:tc>
        <w:tc>
          <w:tcPr>
            <w:tcW w:w="2430" w:type="dxa"/>
          </w:tcPr>
          <w:p w:rsidR="009A17BF" w:rsidRPr="000B4C84" w:rsidRDefault="009A17BF" w:rsidP="006509E1">
            <w:pPr>
              <w:pStyle w:val="BodyTextIndent"/>
              <w:ind w:left="-18" w:firstLine="18"/>
            </w:pPr>
            <w:r w:rsidRPr="000B4C84">
              <w:t>HR Director</w:t>
            </w:r>
          </w:p>
          <w:p w:rsidR="009A17BF" w:rsidRDefault="009A17BF" w:rsidP="006509E1">
            <w:pPr>
              <w:pStyle w:val="BodyTextIndent"/>
              <w:ind w:left="0"/>
              <w:rPr>
                <w:highlight w:val="yellow"/>
              </w:rPr>
            </w:pPr>
          </w:p>
          <w:p w:rsidR="009A17BF" w:rsidRDefault="009A17BF" w:rsidP="006509E1">
            <w:pPr>
              <w:pStyle w:val="BodyTextIndent"/>
              <w:ind w:left="0"/>
              <w:rPr>
                <w:highlight w:val="yellow"/>
              </w:rPr>
            </w:pPr>
          </w:p>
          <w:p w:rsidR="009A17BF" w:rsidRDefault="009A17BF" w:rsidP="006509E1">
            <w:pPr>
              <w:pStyle w:val="BodyTextIndent"/>
              <w:ind w:left="0"/>
              <w:rPr>
                <w:highlight w:val="yellow"/>
              </w:rPr>
            </w:pPr>
          </w:p>
          <w:p w:rsidR="009A17BF" w:rsidRDefault="009A17BF" w:rsidP="006509E1">
            <w:pPr>
              <w:pStyle w:val="BodyTextIndent"/>
              <w:ind w:left="0"/>
            </w:pPr>
            <w:r w:rsidRPr="000B4C84">
              <w:rPr>
                <w:highlight w:val="yellow"/>
              </w:rPr>
              <w:t>HR Director/Executive Committee</w:t>
            </w:r>
          </w:p>
          <w:p w:rsidR="009A17BF" w:rsidRDefault="009A17BF" w:rsidP="006509E1">
            <w:pPr>
              <w:pStyle w:val="BodyTextIndent"/>
              <w:ind w:left="0"/>
            </w:pPr>
          </w:p>
          <w:p w:rsidR="009A17BF" w:rsidRDefault="009A17BF" w:rsidP="006509E1">
            <w:pPr>
              <w:pStyle w:val="BodyTextIndent"/>
              <w:ind w:left="0"/>
            </w:pPr>
            <w:r>
              <w:t>HR Director</w:t>
            </w:r>
          </w:p>
          <w:p w:rsidR="009A17BF" w:rsidRDefault="009A17BF" w:rsidP="006509E1">
            <w:pPr>
              <w:pStyle w:val="BodyTextIndent"/>
              <w:ind w:left="0"/>
            </w:pPr>
          </w:p>
          <w:p w:rsidR="009A17BF" w:rsidRDefault="009A17BF" w:rsidP="006509E1">
            <w:pPr>
              <w:pStyle w:val="BodyTextIndent"/>
              <w:ind w:left="0"/>
            </w:pPr>
          </w:p>
          <w:p w:rsidR="009A17BF" w:rsidRDefault="009A17BF" w:rsidP="006509E1">
            <w:pPr>
              <w:pStyle w:val="BodyTextIndent"/>
              <w:ind w:left="0"/>
            </w:pPr>
            <w:r w:rsidRPr="000B4C84">
              <w:rPr>
                <w:highlight w:val="yellow"/>
              </w:rPr>
              <w:t>Board</w:t>
            </w:r>
            <w:r w:rsidR="003161AC">
              <w:br/>
            </w:r>
          </w:p>
        </w:tc>
      </w:tr>
    </w:tbl>
    <w:p w:rsidR="009A17BF" w:rsidRDefault="009A17BF" w:rsidP="009A17BF">
      <w:pPr>
        <w:pStyle w:val="BodyTextIndent"/>
        <w:ind w:left="0"/>
      </w:pPr>
    </w:p>
    <w:p w:rsidR="009A17BF" w:rsidRDefault="009A17BF" w:rsidP="009A17BF"/>
    <w:p w:rsidR="00FB0DD3" w:rsidRDefault="00FB0DD3" w:rsidP="009A17BF">
      <w:pPr>
        <w:pStyle w:val="BodyTextIndent"/>
        <w:ind w:left="0"/>
      </w:pPr>
    </w:p>
    <w:sectPr w:rsidR="00FB0DD3" w:rsidSect="00D82E08">
      <w:footerReference w:type="first" r:id="rId9"/>
      <w:pgSz w:w="12240" w:h="15840" w:code="1"/>
      <w:pgMar w:top="547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D5" w:rsidRDefault="00EB35D5">
      <w:r>
        <w:separator/>
      </w:r>
    </w:p>
  </w:endnote>
  <w:endnote w:type="continuationSeparator" w:id="0">
    <w:p w:rsidR="00EB35D5" w:rsidRDefault="00EB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3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838"/>
      <w:gridCol w:w="1142"/>
      <w:gridCol w:w="778"/>
    </w:tblGrid>
    <w:tr w:rsidR="006509E1">
      <w:tc>
        <w:tcPr>
          <w:tcW w:w="838" w:type="dxa"/>
        </w:tcPr>
        <w:p w:rsidR="006509E1" w:rsidRDefault="006509E1">
          <w:pPr>
            <w:pStyle w:val="Heading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</w:rPr>
            <w:t>Board</w:t>
          </w:r>
        </w:p>
      </w:tc>
      <w:tc>
        <w:tcPr>
          <w:tcW w:w="1142" w:type="dxa"/>
        </w:tcPr>
        <w:p w:rsidR="006509E1" w:rsidRDefault="006509E1">
          <w:pPr>
            <w:pStyle w:val="Heading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</w:rPr>
            <w:t>Mtg Date</w:t>
          </w:r>
        </w:p>
      </w:tc>
      <w:tc>
        <w:tcPr>
          <w:tcW w:w="778" w:type="dxa"/>
        </w:tcPr>
        <w:p w:rsidR="006509E1" w:rsidRDefault="006509E1">
          <w:pPr>
            <w:pStyle w:val="Heading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</w:rPr>
            <w:t>Item #</w:t>
          </w:r>
        </w:p>
      </w:tc>
    </w:tr>
    <w:tr w:rsidR="006509E1">
      <w:tc>
        <w:tcPr>
          <w:tcW w:w="838" w:type="dxa"/>
        </w:tcPr>
        <w:p w:rsidR="006509E1" w:rsidRDefault="006509E1">
          <w:pPr>
            <w:pStyle w:val="Heading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</w:rPr>
            <w:t>EXC</w:t>
          </w:r>
        </w:p>
      </w:tc>
      <w:tc>
        <w:tcPr>
          <w:tcW w:w="1142" w:type="dxa"/>
        </w:tcPr>
        <w:p w:rsidR="006509E1" w:rsidRDefault="00FA7F8E" w:rsidP="00510A17">
          <w:pPr>
            <w:pStyle w:val="Heading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</w:rPr>
            <w:t>3.7.12</w:t>
          </w:r>
        </w:p>
      </w:tc>
      <w:tc>
        <w:tcPr>
          <w:tcW w:w="778" w:type="dxa"/>
        </w:tcPr>
        <w:p w:rsidR="006509E1" w:rsidRDefault="00703505">
          <w:pPr>
            <w:pStyle w:val="Heading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</w:rPr>
            <w:t>4B</w:t>
          </w:r>
        </w:p>
      </w:tc>
    </w:tr>
    <w:tr w:rsidR="006509E1">
      <w:tc>
        <w:tcPr>
          <w:tcW w:w="838" w:type="dxa"/>
        </w:tcPr>
        <w:p w:rsidR="006509E1" w:rsidRDefault="006509E1">
          <w:pPr>
            <w:pStyle w:val="Heading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</w:rPr>
            <w:t>ETF</w:t>
          </w:r>
        </w:p>
      </w:tc>
      <w:tc>
        <w:tcPr>
          <w:tcW w:w="1142" w:type="dxa"/>
        </w:tcPr>
        <w:p w:rsidR="006509E1" w:rsidRDefault="00FA7F8E" w:rsidP="00510A17">
          <w:pPr>
            <w:pStyle w:val="Heading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</w:rPr>
            <w:t>3.8.12</w:t>
          </w:r>
        </w:p>
      </w:tc>
      <w:tc>
        <w:tcPr>
          <w:tcW w:w="778" w:type="dxa"/>
        </w:tcPr>
        <w:p w:rsidR="006509E1" w:rsidRDefault="00703505">
          <w:pPr>
            <w:pStyle w:val="Heading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</w:rPr>
            <w:t>4A1</w:t>
          </w:r>
        </w:p>
      </w:tc>
    </w:tr>
  </w:tbl>
  <w:p w:rsidR="006509E1" w:rsidRDefault="006509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D5" w:rsidRDefault="00EB35D5">
      <w:r>
        <w:separator/>
      </w:r>
    </w:p>
  </w:footnote>
  <w:footnote w:type="continuationSeparator" w:id="0">
    <w:p w:rsidR="00EB35D5" w:rsidRDefault="00EB3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AC2"/>
    <w:multiLevelType w:val="hybridMultilevel"/>
    <w:tmpl w:val="1F02D248"/>
    <w:lvl w:ilvl="0" w:tplc="B70CCE50">
      <w:start w:val="1"/>
      <w:numFmt w:val="lowerLetter"/>
      <w:lvlText w:val="%1.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C6F37"/>
    <w:multiLevelType w:val="hybridMultilevel"/>
    <w:tmpl w:val="E3BAF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4726D8"/>
    <w:multiLevelType w:val="hybridMultilevel"/>
    <w:tmpl w:val="DE9E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57044"/>
    <w:multiLevelType w:val="hybridMultilevel"/>
    <w:tmpl w:val="17CC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E47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0755E41"/>
    <w:multiLevelType w:val="hybridMultilevel"/>
    <w:tmpl w:val="DC94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82964"/>
    <w:multiLevelType w:val="hybridMultilevel"/>
    <w:tmpl w:val="EAFE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81EDA"/>
    <w:multiLevelType w:val="hybridMultilevel"/>
    <w:tmpl w:val="A87C1F9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6444641E"/>
    <w:multiLevelType w:val="hybridMultilevel"/>
    <w:tmpl w:val="46128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4841E3"/>
    <w:multiLevelType w:val="hybridMultilevel"/>
    <w:tmpl w:val="FCA6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F4C98"/>
    <w:multiLevelType w:val="hybridMultilevel"/>
    <w:tmpl w:val="D75A33E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Type w:val="letter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4D0"/>
    <w:rsid w:val="0001011A"/>
    <w:rsid w:val="00025859"/>
    <w:rsid w:val="00032A49"/>
    <w:rsid w:val="00061DFB"/>
    <w:rsid w:val="000946D7"/>
    <w:rsid w:val="00095DC6"/>
    <w:rsid w:val="000A0E17"/>
    <w:rsid w:val="000A2B6C"/>
    <w:rsid w:val="000B4C84"/>
    <w:rsid w:val="000E4191"/>
    <w:rsid w:val="000F5CC1"/>
    <w:rsid w:val="00127C8E"/>
    <w:rsid w:val="00161C0C"/>
    <w:rsid w:val="00181B67"/>
    <w:rsid w:val="001B5DC7"/>
    <w:rsid w:val="001F14EC"/>
    <w:rsid w:val="0020315D"/>
    <w:rsid w:val="00247E4A"/>
    <w:rsid w:val="002553E6"/>
    <w:rsid w:val="002875B9"/>
    <w:rsid w:val="002C2A63"/>
    <w:rsid w:val="002C41CC"/>
    <w:rsid w:val="002D4ACD"/>
    <w:rsid w:val="002F40C1"/>
    <w:rsid w:val="00302DFE"/>
    <w:rsid w:val="00310CD8"/>
    <w:rsid w:val="003161AC"/>
    <w:rsid w:val="00323469"/>
    <w:rsid w:val="00350989"/>
    <w:rsid w:val="00360602"/>
    <w:rsid w:val="00386C5A"/>
    <w:rsid w:val="003B1A98"/>
    <w:rsid w:val="003B304B"/>
    <w:rsid w:val="003B55EC"/>
    <w:rsid w:val="003E5613"/>
    <w:rsid w:val="003F3BB8"/>
    <w:rsid w:val="004047E0"/>
    <w:rsid w:val="00422737"/>
    <w:rsid w:val="0043117C"/>
    <w:rsid w:val="004648C4"/>
    <w:rsid w:val="00473B6F"/>
    <w:rsid w:val="00484AA4"/>
    <w:rsid w:val="004928ED"/>
    <w:rsid w:val="004A204D"/>
    <w:rsid w:val="004E00A9"/>
    <w:rsid w:val="00510A17"/>
    <w:rsid w:val="00514D16"/>
    <w:rsid w:val="00530FEE"/>
    <w:rsid w:val="005430CA"/>
    <w:rsid w:val="00564956"/>
    <w:rsid w:val="005770ED"/>
    <w:rsid w:val="00582800"/>
    <w:rsid w:val="005B24D0"/>
    <w:rsid w:val="005C3FF9"/>
    <w:rsid w:val="005D42DB"/>
    <w:rsid w:val="005F7E38"/>
    <w:rsid w:val="00607130"/>
    <w:rsid w:val="0061283E"/>
    <w:rsid w:val="00617F75"/>
    <w:rsid w:val="00636976"/>
    <w:rsid w:val="006509E1"/>
    <w:rsid w:val="006520BE"/>
    <w:rsid w:val="00657BA9"/>
    <w:rsid w:val="00671F52"/>
    <w:rsid w:val="00673731"/>
    <w:rsid w:val="006822B4"/>
    <w:rsid w:val="00690B83"/>
    <w:rsid w:val="006946DE"/>
    <w:rsid w:val="006C6551"/>
    <w:rsid w:val="006E06EC"/>
    <w:rsid w:val="00703505"/>
    <w:rsid w:val="00705BC8"/>
    <w:rsid w:val="00734683"/>
    <w:rsid w:val="00781120"/>
    <w:rsid w:val="007C0189"/>
    <w:rsid w:val="007D335A"/>
    <w:rsid w:val="007F2451"/>
    <w:rsid w:val="007F47C8"/>
    <w:rsid w:val="007F55A5"/>
    <w:rsid w:val="00882643"/>
    <w:rsid w:val="00887537"/>
    <w:rsid w:val="008976F0"/>
    <w:rsid w:val="008B4E2D"/>
    <w:rsid w:val="008D5CA8"/>
    <w:rsid w:val="008E3B74"/>
    <w:rsid w:val="008F2B2F"/>
    <w:rsid w:val="008F68F6"/>
    <w:rsid w:val="00917107"/>
    <w:rsid w:val="00926980"/>
    <w:rsid w:val="00955095"/>
    <w:rsid w:val="009972CA"/>
    <w:rsid w:val="009A17BF"/>
    <w:rsid w:val="009A1EBB"/>
    <w:rsid w:val="009E7225"/>
    <w:rsid w:val="009F24EE"/>
    <w:rsid w:val="009F5042"/>
    <w:rsid w:val="009F52B9"/>
    <w:rsid w:val="00A114A8"/>
    <w:rsid w:val="00AB3147"/>
    <w:rsid w:val="00AD3EF2"/>
    <w:rsid w:val="00AD5FA5"/>
    <w:rsid w:val="00AD6620"/>
    <w:rsid w:val="00AE00CF"/>
    <w:rsid w:val="00B415EF"/>
    <w:rsid w:val="00B47EC2"/>
    <w:rsid w:val="00B571EA"/>
    <w:rsid w:val="00BB632F"/>
    <w:rsid w:val="00BC1BE8"/>
    <w:rsid w:val="00BC408A"/>
    <w:rsid w:val="00BD28A2"/>
    <w:rsid w:val="00BD4410"/>
    <w:rsid w:val="00BF790D"/>
    <w:rsid w:val="00C02AB2"/>
    <w:rsid w:val="00C161B5"/>
    <w:rsid w:val="00C22998"/>
    <w:rsid w:val="00C748F7"/>
    <w:rsid w:val="00C8672F"/>
    <w:rsid w:val="00C93E91"/>
    <w:rsid w:val="00CA35BC"/>
    <w:rsid w:val="00CA7A93"/>
    <w:rsid w:val="00CD6F15"/>
    <w:rsid w:val="00D00FAF"/>
    <w:rsid w:val="00D12035"/>
    <w:rsid w:val="00D22906"/>
    <w:rsid w:val="00D37E27"/>
    <w:rsid w:val="00D50596"/>
    <w:rsid w:val="00D82E08"/>
    <w:rsid w:val="00D83DB4"/>
    <w:rsid w:val="00DA168F"/>
    <w:rsid w:val="00DA30BA"/>
    <w:rsid w:val="00DC02D3"/>
    <w:rsid w:val="00DC2D79"/>
    <w:rsid w:val="00DE4E9D"/>
    <w:rsid w:val="00DE7F97"/>
    <w:rsid w:val="00E11D2F"/>
    <w:rsid w:val="00E15893"/>
    <w:rsid w:val="00E17D4B"/>
    <w:rsid w:val="00E244E1"/>
    <w:rsid w:val="00E25A3F"/>
    <w:rsid w:val="00E41D03"/>
    <w:rsid w:val="00E663CB"/>
    <w:rsid w:val="00E72809"/>
    <w:rsid w:val="00E73729"/>
    <w:rsid w:val="00E747BD"/>
    <w:rsid w:val="00E75AFB"/>
    <w:rsid w:val="00E871A9"/>
    <w:rsid w:val="00E94176"/>
    <w:rsid w:val="00EB35D5"/>
    <w:rsid w:val="00F37DEA"/>
    <w:rsid w:val="00F40000"/>
    <w:rsid w:val="00FA7F8E"/>
    <w:rsid w:val="00FB0C42"/>
    <w:rsid w:val="00FB0DD3"/>
    <w:rsid w:val="00FC5639"/>
    <w:rsid w:val="00FD0689"/>
    <w:rsid w:val="00FD140D"/>
    <w:rsid w:val="00FD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B5DC7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1B5DC7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1B5DC7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rsid w:val="001B5DC7"/>
    <w:pPr>
      <w:keepNext/>
      <w:jc w:val="center"/>
      <w:outlineLvl w:val="3"/>
    </w:pPr>
    <w:rPr>
      <w:rFonts w:ascii="Century Gothic" w:hAnsi="Century Gothic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5DC7"/>
    <w:pPr>
      <w:jc w:val="center"/>
    </w:pPr>
    <w:rPr>
      <w:rFonts w:ascii="Times New Roman" w:hAnsi="Times New Roman"/>
      <w:sz w:val="36"/>
    </w:rPr>
  </w:style>
  <w:style w:type="paragraph" w:styleId="Header">
    <w:name w:val="header"/>
    <w:basedOn w:val="Normal"/>
    <w:semiHidden/>
    <w:rsid w:val="001B5D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DC7"/>
    <w:pPr>
      <w:tabs>
        <w:tab w:val="center" w:pos="4320"/>
        <w:tab w:val="right" w:pos="8640"/>
      </w:tabs>
    </w:pPr>
  </w:style>
  <w:style w:type="paragraph" w:customStyle="1" w:styleId="InsideAddressName">
    <w:name w:val="Inside Address Name"/>
    <w:basedOn w:val="Normal"/>
    <w:rsid w:val="001B5DC7"/>
  </w:style>
  <w:style w:type="paragraph" w:customStyle="1" w:styleId="InsideAddress">
    <w:name w:val="Inside Address"/>
    <w:basedOn w:val="Normal"/>
    <w:rsid w:val="001B5DC7"/>
  </w:style>
  <w:style w:type="paragraph" w:styleId="Salutation">
    <w:name w:val="Salutation"/>
    <w:basedOn w:val="Normal"/>
    <w:next w:val="Normal"/>
    <w:semiHidden/>
    <w:rsid w:val="001B5DC7"/>
  </w:style>
  <w:style w:type="paragraph" w:styleId="Date">
    <w:name w:val="Date"/>
    <w:basedOn w:val="Normal"/>
    <w:next w:val="Normal"/>
    <w:semiHidden/>
    <w:rsid w:val="001B5DC7"/>
  </w:style>
  <w:style w:type="paragraph" w:styleId="Closing">
    <w:name w:val="Closing"/>
    <w:basedOn w:val="Normal"/>
    <w:semiHidden/>
    <w:rsid w:val="001B5DC7"/>
  </w:style>
  <w:style w:type="paragraph" w:styleId="Signature">
    <w:name w:val="Signature"/>
    <w:basedOn w:val="Normal"/>
    <w:semiHidden/>
    <w:rsid w:val="001B5DC7"/>
  </w:style>
  <w:style w:type="paragraph" w:styleId="BodyText">
    <w:name w:val="Body Text"/>
    <w:basedOn w:val="Normal"/>
    <w:semiHidden/>
    <w:rsid w:val="001B5DC7"/>
    <w:pPr>
      <w:spacing w:after="120"/>
    </w:pPr>
  </w:style>
  <w:style w:type="paragraph" w:styleId="BodyTextIndent">
    <w:name w:val="Body Text Indent"/>
    <w:basedOn w:val="Normal"/>
    <w:link w:val="BodyTextIndentChar"/>
    <w:semiHidden/>
    <w:rsid w:val="001B5DC7"/>
    <w:pPr>
      <w:ind w:left="360"/>
    </w:pPr>
  </w:style>
  <w:style w:type="table" w:styleId="TableGrid">
    <w:name w:val="Table Grid"/>
    <w:basedOn w:val="TableNormal"/>
    <w:uiPriority w:val="59"/>
    <w:rsid w:val="005F7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3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1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1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147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9A17BF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A43E-96ED-4264-9889-01123478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gillec</cp:lastModifiedBy>
  <cp:revision>2</cp:revision>
  <cp:lastPrinted>2012-02-22T22:18:00Z</cp:lastPrinted>
  <dcterms:created xsi:type="dcterms:W3CDTF">2012-03-02T19:40:00Z</dcterms:created>
  <dcterms:modified xsi:type="dcterms:W3CDTF">2012-03-02T19:40:00Z</dcterms:modified>
</cp:coreProperties>
</file>