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D37D29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5D7A5F" w:rsidRPr="00D52487" w:rsidRDefault="00546FA7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Teachers</w:t>
      </w:r>
      <w:r w:rsidR="00D37D29">
        <w:rPr>
          <w:rFonts w:ascii="Arial Black" w:hAnsi="Arial Black" w:cs="Arial"/>
          <w:b/>
          <w:sz w:val="32"/>
          <w:szCs w:val="32"/>
        </w:rPr>
        <w:t xml:space="preserve"> Retirement Board</w:t>
      </w:r>
    </w:p>
    <w:p w:rsidR="005F3D51" w:rsidRDefault="005F3D5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43815</wp:posOffset>
            </wp:positionV>
            <wp:extent cx="2015490" cy="1234440"/>
            <wp:effectExtent l="19050" t="0" r="381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7D29">
        <w:rPr>
          <w:rFonts w:ascii="Arial" w:hAnsi="Arial" w:cs="Arial"/>
          <w:noProof/>
          <w:sz w:val="24"/>
        </w:rPr>
        <w:t>State of Wisconsin</w:t>
      </w:r>
    </w:p>
    <w:p w:rsidR="005F3D51" w:rsidRDefault="005F3D5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:rsidR="00215FB1" w:rsidRDefault="005F3D5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Thursday,</w:t>
      </w:r>
      <w:r w:rsidR="005A4CA9">
        <w:rPr>
          <w:rFonts w:ascii="Arial Black" w:hAnsi="Arial Black" w:cs="Arial"/>
          <w:sz w:val="24"/>
        </w:rPr>
        <w:t xml:space="preserve"> </w:t>
      </w:r>
      <w:r w:rsidR="00170697">
        <w:rPr>
          <w:rFonts w:ascii="Arial Black" w:hAnsi="Arial Black" w:cs="Arial"/>
          <w:sz w:val="24"/>
        </w:rPr>
        <w:t>March 7, 2013</w:t>
      </w:r>
    </w:p>
    <w:p w:rsidR="00C3020E" w:rsidRDefault="00B10253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C3020E">
        <w:rPr>
          <w:rFonts w:ascii="Arial" w:hAnsi="Arial" w:cs="Arial"/>
          <w:sz w:val="24"/>
        </w:rPr>
        <w:t>Upon the conclusion of the Wisconsin Retirement</w:t>
      </w:r>
    </w:p>
    <w:p w:rsidR="00D37D29" w:rsidRPr="00D37D29" w:rsidRDefault="00C3020E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Board meeting, approximately 1:00 p.m.</w:t>
      </w:r>
      <w:r w:rsidR="00B10253">
        <w:rPr>
          <w:rFonts w:ascii="Arial" w:hAnsi="Arial" w:cs="Arial"/>
          <w:sz w:val="24"/>
        </w:rPr>
        <w:t>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>State Revenue Building – Events Room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23182A" w:rsidRPr="00DF6DA8" w:rsidRDefault="0094618E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 descr="G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  <w:t xml:space="preserve">         </w:t>
      </w:r>
    </w:p>
    <w:tbl>
      <w:tblPr>
        <w:tblW w:w="1046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18"/>
        <w:gridCol w:w="831"/>
        <w:gridCol w:w="5226"/>
        <w:gridCol w:w="2890"/>
      </w:tblGrid>
      <w:tr w:rsidR="005D7A5F" w:rsidRPr="00DF6DA8" w:rsidTr="00C3020E">
        <w:trPr>
          <w:trHeight w:val="245"/>
        </w:trPr>
        <w:tc>
          <w:tcPr>
            <w:tcW w:w="1518" w:type="dxa"/>
          </w:tcPr>
          <w:p w:rsidR="005D7A5F" w:rsidRPr="00DF6DA8" w:rsidRDefault="00A521D2" w:rsidP="00A521D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1:00</w:t>
            </w:r>
            <w:r w:rsidR="008A6496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p</w:t>
            </w:r>
            <w:r w:rsidR="00D37D29">
              <w:rPr>
                <w:rFonts w:ascii="Arial" w:hAnsi="Arial" w:cs="Arial"/>
                <w:sz w:val="24"/>
              </w:rPr>
              <w:t>.m.</w:t>
            </w:r>
            <w:r w:rsidR="005D7A5F" w:rsidRPr="00DF6DA8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831" w:type="dxa"/>
          </w:tcPr>
          <w:p w:rsidR="005D7A5F" w:rsidRPr="00DF6DA8" w:rsidRDefault="005D7A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26" w:type="dxa"/>
          </w:tcPr>
          <w:p w:rsidR="005D7A5F" w:rsidRPr="00DF6DA8" w:rsidRDefault="005D7A5F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  <w:p w:rsidR="006D568E" w:rsidRPr="00DF6DA8" w:rsidRDefault="006D568E" w:rsidP="006D568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90" w:type="dxa"/>
          </w:tcPr>
          <w:p w:rsidR="005D7A5F" w:rsidRPr="00DF6DA8" w:rsidRDefault="005D7A5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EF4388" w:rsidRPr="00DF6DA8" w:rsidTr="00E61AF2">
        <w:trPr>
          <w:trHeight w:val="560"/>
        </w:trPr>
        <w:tc>
          <w:tcPr>
            <w:tcW w:w="1518" w:type="dxa"/>
          </w:tcPr>
          <w:p w:rsidR="00EF4388" w:rsidRPr="00DF6DA8" w:rsidRDefault="00EF4388" w:rsidP="00A521D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1:00 p.m.</w:t>
            </w:r>
          </w:p>
        </w:tc>
        <w:tc>
          <w:tcPr>
            <w:tcW w:w="831" w:type="dxa"/>
          </w:tcPr>
          <w:p w:rsidR="00EF4388" w:rsidRPr="00DF6DA8" w:rsidRDefault="009F0903">
            <w:pPr>
              <w:rPr>
                <w:rFonts w:ascii="Arial" w:hAnsi="Arial" w:cs="Arial"/>
                <w:sz w:val="24"/>
              </w:rPr>
            </w:pPr>
            <w:r w:rsidRPr="009F0903">
              <w:rPr>
                <w:rFonts w:ascii="Arial" w:hAnsi="Arial" w:cs="Arial"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6" w:type="dxa"/>
            <w:gridSpan w:val="2"/>
          </w:tcPr>
          <w:p w:rsidR="00EF4388" w:rsidRPr="00DF6DA8" w:rsidRDefault="003B2EBE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EF4388" w:rsidRPr="008700FE">
                <w:rPr>
                  <w:rStyle w:val="Hyperlink"/>
                  <w:rFonts w:ascii="Arial" w:hAnsi="Arial" w:cs="Arial"/>
                  <w:sz w:val="24"/>
                </w:rPr>
                <w:t>Consideration of December 6, 2012, Meeting Minutes</w:t>
              </w:r>
            </w:hyperlink>
          </w:p>
          <w:p w:rsidR="00EF4388" w:rsidRPr="00DF6DA8" w:rsidRDefault="00EF4388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D7A5F" w:rsidRPr="00DF6DA8" w:rsidTr="00C3020E">
        <w:trPr>
          <w:trHeight w:val="533"/>
        </w:trPr>
        <w:tc>
          <w:tcPr>
            <w:tcW w:w="1518" w:type="dxa"/>
          </w:tcPr>
          <w:p w:rsidR="005D7A5F" w:rsidRPr="00DF6DA8" w:rsidRDefault="008A6496" w:rsidP="00A521D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</w:t>
            </w:r>
            <w:r w:rsidR="00A521D2">
              <w:rPr>
                <w:rFonts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 xml:space="preserve">5 </w:t>
            </w:r>
            <w:r w:rsidR="00A521D2">
              <w:rPr>
                <w:rFonts w:ascii="Arial" w:hAnsi="Arial" w:cs="Arial"/>
                <w:sz w:val="24"/>
              </w:rPr>
              <w:t>p</w:t>
            </w:r>
            <w:r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831" w:type="dxa"/>
          </w:tcPr>
          <w:p w:rsidR="005D7A5F" w:rsidRPr="00DF6DA8" w:rsidRDefault="005D7A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26" w:type="dxa"/>
          </w:tcPr>
          <w:p w:rsidR="005D7A5F" w:rsidRPr="00DF6DA8" w:rsidRDefault="005D7A5F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Announcements</w:t>
            </w:r>
          </w:p>
          <w:p w:rsidR="00546FA7" w:rsidRPr="00546FA7" w:rsidRDefault="00546FA7" w:rsidP="00EF4388">
            <w:pPr>
              <w:pStyle w:val="ListParagraph"/>
              <w:rPr>
                <w:rFonts w:ascii="Arial" w:hAnsi="Arial" w:cs="Arial"/>
                <w:sz w:val="24"/>
              </w:rPr>
            </w:pPr>
          </w:p>
        </w:tc>
        <w:tc>
          <w:tcPr>
            <w:tcW w:w="2890" w:type="dxa"/>
          </w:tcPr>
          <w:p w:rsidR="00546FA7" w:rsidRDefault="00546FA7" w:rsidP="00546FA7">
            <w:pPr>
              <w:rPr>
                <w:rFonts w:ascii="Arial" w:hAnsi="Arial" w:cs="Arial"/>
                <w:sz w:val="24"/>
              </w:rPr>
            </w:pPr>
          </w:p>
          <w:p w:rsidR="00675E2E" w:rsidRPr="00AB430C" w:rsidRDefault="00675E2E" w:rsidP="00EF4388">
            <w:pPr>
              <w:rPr>
                <w:rFonts w:ascii="Arial" w:hAnsi="Arial" w:cs="Arial"/>
                <w:sz w:val="24"/>
              </w:rPr>
            </w:pPr>
          </w:p>
        </w:tc>
      </w:tr>
      <w:tr w:rsidR="005A4CA9" w:rsidRPr="00DF6DA8" w:rsidTr="00C3020E">
        <w:trPr>
          <w:trHeight w:val="623"/>
        </w:trPr>
        <w:tc>
          <w:tcPr>
            <w:tcW w:w="1518" w:type="dxa"/>
          </w:tcPr>
          <w:p w:rsidR="005A4CA9" w:rsidRDefault="005A4CA9" w:rsidP="00A521D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</w:t>
            </w:r>
            <w:r w:rsidR="00A521D2">
              <w:rPr>
                <w:rFonts w:ascii="Arial" w:hAnsi="Arial" w:cs="Arial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 xml:space="preserve">0 </w:t>
            </w:r>
            <w:r w:rsidR="00A521D2">
              <w:rPr>
                <w:rFonts w:ascii="Arial" w:hAnsi="Arial" w:cs="Arial"/>
                <w:sz w:val="24"/>
              </w:rPr>
              <w:t>p</w:t>
            </w:r>
            <w:r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831" w:type="dxa"/>
          </w:tcPr>
          <w:p w:rsidR="005A4CA9" w:rsidRPr="00E61855" w:rsidRDefault="000A448D">
            <w:pPr>
              <w:rPr>
                <w:rFonts w:ascii="Arial" w:hAnsi="Arial" w:cs="Arial"/>
                <w:noProof/>
                <w:sz w:val="24"/>
              </w:rPr>
            </w:pPr>
            <w:r w:rsidRPr="000A448D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9550" cy="114300"/>
                  <wp:effectExtent l="19050" t="0" r="0" b="0"/>
                  <wp:docPr id="3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:rsidR="005A4CA9" w:rsidRPr="00F753A4" w:rsidRDefault="003B2EBE" w:rsidP="008A3ACF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0" w:history="1">
              <w:r w:rsidR="005A4CA9" w:rsidRPr="008700FE">
                <w:rPr>
                  <w:rStyle w:val="Hyperlink"/>
                  <w:rFonts w:ascii="Arial" w:hAnsi="Arial" w:cs="Arial"/>
                  <w:sz w:val="24"/>
                </w:rPr>
                <w:t>Election of Officers</w:t>
              </w:r>
            </w:hyperlink>
          </w:p>
        </w:tc>
        <w:tc>
          <w:tcPr>
            <w:tcW w:w="2890" w:type="dxa"/>
          </w:tcPr>
          <w:p w:rsidR="005A4CA9" w:rsidRDefault="005A4CA9" w:rsidP="00546FA7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EF4388" w:rsidRPr="00DF6DA8" w:rsidTr="00ED39E1">
        <w:trPr>
          <w:trHeight w:val="623"/>
        </w:trPr>
        <w:tc>
          <w:tcPr>
            <w:tcW w:w="1518" w:type="dxa"/>
          </w:tcPr>
          <w:p w:rsidR="00EF4388" w:rsidRPr="00DF6DA8" w:rsidRDefault="00EF4388" w:rsidP="00A521D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1:15 p.m.</w:t>
            </w:r>
          </w:p>
        </w:tc>
        <w:tc>
          <w:tcPr>
            <w:tcW w:w="831" w:type="dxa"/>
          </w:tcPr>
          <w:p w:rsidR="00EF4388" w:rsidRDefault="00EF4388">
            <w:pPr>
              <w:rPr>
                <w:rFonts w:ascii="Arial" w:hAnsi="Arial" w:cs="Arial"/>
                <w:sz w:val="24"/>
              </w:rPr>
            </w:pPr>
            <w:r w:rsidRPr="00E61855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9550" cy="114300"/>
                  <wp:effectExtent l="19050" t="0" r="0" b="0"/>
                  <wp:docPr id="4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4388" w:rsidRDefault="00EF4388">
            <w:pPr>
              <w:rPr>
                <w:rFonts w:ascii="Arial" w:hAnsi="Arial" w:cs="Arial"/>
                <w:sz w:val="24"/>
              </w:rPr>
            </w:pPr>
          </w:p>
          <w:p w:rsidR="00EF4388" w:rsidRPr="00DF6DA8" w:rsidRDefault="00EF438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16" w:type="dxa"/>
            <w:gridSpan w:val="2"/>
          </w:tcPr>
          <w:p w:rsidR="00EF4388" w:rsidRDefault="00EF4388" w:rsidP="008A3ACF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4"/>
              </w:rPr>
            </w:pPr>
            <w:r w:rsidRPr="00F753A4">
              <w:rPr>
                <w:rFonts w:ascii="Arial" w:hAnsi="Arial" w:cs="Arial"/>
                <w:sz w:val="24"/>
              </w:rPr>
              <w:t>Discussion/Consideration</w:t>
            </w:r>
          </w:p>
          <w:p w:rsidR="00EF4388" w:rsidRDefault="00EF4388" w:rsidP="008A6496">
            <w:pPr>
              <w:numPr>
                <w:ilvl w:val="0"/>
                <w:numId w:val="27"/>
              </w:numPr>
              <w:rPr>
                <w:rFonts w:ascii="Arial" w:hAnsi="Arial" w:cs="Arial"/>
                <w:sz w:val="24"/>
              </w:rPr>
            </w:pPr>
            <w:r w:rsidRPr="00490315">
              <w:rPr>
                <w:rFonts w:ascii="Arial" w:hAnsi="Arial" w:cs="Arial"/>
                <w:sz w:val="24"/>
              </w:rPr>
              <w:t>Appointment to State of Wisconsin Investment Board</w:t>
            </w:r>
          </w:p>
          <w:p w:rsidR="00EF4388" w:rsidRDefault="003B2EBE" w:rsidP="008B68E0">
            <w:pPr>
              <w:numPr>
                <w:ilvl w:val="0"/>
                <w:numId w:val="27"/>
              </w:numPr>
              <w:rPr>
                <w:rFonts w:ascii="Arial" w:hAnsi="Arial" w:cs="Arial"/>
                <w:sz w:val="24"/>
              </w:rPr>
            </w:pPr>
            <w:hyperlink r:id="rId11" w:history="1">
              <w:r w:rsidR="00EF4388" w:rsidRPr="008700FE">
                <w:rPr>
                  <w:rStyle w:val="Hyperlink"/>
                  <w:rFonts w:ascii="Arial" w:hAnsi="Arial" w:cs="Arial"/>
                  <w:sz w:val="24"/>
                </w:rPr>
                <w:t>Appointments to ETF Board</w:t>
              </w:r>
            </w:hyperlink>
          </w:p>
          <w:p w:rsidR="00EF4388" w:rsidRPr="008B68E0" w:rsidRDefault="003B2EBE" w:rsidP="008B68E0">
            <w:pPr>
              <w:numPr>
                <w:ilvl w:val="0"/>
                <w:numId w:val="27"/>
              </w:numPr>
              <w:rPr>
                <w:rFonts w:ascii="Arial" w:hAnsi="Arial" w:cs="Arial"/>
                <w:sz w:val="24"/>
              </w:rPr>
            </w:pPr>
            <w:hyperlink r:id="rId12" w:history="1">
              <w:r w:rsidR="00EF4388" w:rsidRPr="00490315">
                <w:rPr>
                  <w:rStyle w:val="Hyperlink"/>
                  <w:rFonts w:ascii="Arial" w:hAnsi="Arial" w:cs="Arial"/>
                  <w:sz w:val="24"/>
                </w:rPr>
                <w:t>Clearing</w:t>
              </w:r>
              <w:r w:rsidR="00CE4016" w:rsidRPr="00490315">
                <w:rPr>
                  <w:rStyle w:val="Hyperlink"/>
                  <w:rFonts w:ascii="Arial" w:hAnsi="Arial" w:cs="Arial"/>
                  <w:sz w:val="24"/>
                </w:rPr>
                <w:t>h</w:t>
              </w:r>
              <w:r w:rsidR="00EF4388" w:rsidRPr="00490315">
                <w:rPr>
                  <w:rStyle w:val="Hyperlink"/>
                  <w:rFonts w:ascii="Arial" w:hAnsi="Arial" w:cs="Arial"/>
                  <w:sz w:val="24"/>
                </w:rPr>
                <w:t>ouse Rule # CR 12-054: Technical and Minor Substantive Changes in Existing ETF Administrative Rules</w:t>
              </w:r>
            </w:hyperlink>
          </w:p>
          <w:p w:rsidR="00EF4388" w:rsidRPr="00DF6DA8" w:rsidRDefault="00EF4388" w:rsidP="00EF4388">
            <w:pPr>
              <w:rPr>
                <w:rFonts w:ascii="Arial" w:hAnsi="Arial" w:cs="Arial"/>
                <w:sz w:val="24"/>
              </w:rPr>
            </w:pPr>
          </w:p>
        </w:tc>
      </w:tr>
      <w:tr w:rsidR="000B01CE" w:rsidRPr="00DF6DA8" w:rsidTr="00C3020E">
        <w:trPr>
          <w:trHeight w:val="839"/>
        </w:trPr>
        <w:tc>
          <w:tcPr>
            <w:tcW w:w="1518" w:type="dxa"/>
          </w:tcPr>
          <w:p w:rsidR="008317ED" w:rsidRPr="00DB696F" w:rsidRDefault="008A6496" w:rsidP="00DB696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03108B">
              <w:rPr>
                <w:rFonts w:ascii="Arial" w:hAnsi="Arial" w:cs="Arial"/>
                <w:b/>
                <w:sz w:val="24"/>
              </w:rPr>
              <w:t>:</w:t>
            </w:r>
            <w:r w:rsidR="00A521D2">
              <w:rPr>
                <w:rFonts w:ascii="Arial" w:hAnsi="Arial" w:cs="Arial"/>
                <w:b/>
                <w:sz w:val="24"/>
              </w:rPr>
              <w:t>2</w:t>
            </w:r>
            <w:r>
              <w:rPr>
                <w:rFonts w:ascii="Arial" w:hAnsi="Arial" w:cs="Arial"/>
                <w:b/>
                <w:sz w:val="24"/>
              </w:rPr>
              <w:t>0</w:t>
            </w:r>
            <w:r w:rsidR="0003108B">
              <w:rPr>
                <w:rFonts w:ascii="Arial" w:hAnsi="Arial" w:cs="Arial"/>
                <w:b/>
                <w:sz w:val="24"/>
              </w:rPr>
              <w:t xml:space="preserve"> </w:t>
            </w:r>
            <w:r w:rsidR="00A521D2">
              <w:rPr>
                <w:rFonts w:ascii="Arial" w:hAnsi="Arial" w:cs="Arial"/>
                <w:b/>
                <w:sz w:val="24"/>
              </w:rPr>
              <w:t>p</w:t>
            </w:r>
            <w:r w:rsidR="0003108B">
              <w:rPr>
                <w:rFonts w:ascii="Arial" w:hAnsi="Arial" w:cs="Arial"/>
                <w:b/>
                <w:sz w:val="24"/>
              </w:rPr>
              <w:t>.m.</w:t>
            </w:r>
          </w:p>
          <w:p w:rsidR="000F173B" w:rsidRPr="008317ED" w:rsidRDefault="000F173B" w:rsidP="000B3436">
            <w:pPr>
              <w:rPr>
                <w:i/>
              </w:rPr>
            </w:pPr>
          </w:p>
        </w:tc>
        <w:tc>
          <w:tcPr>
            <w:tcW w:w="831" w:type="dxa"/>
          </w:tcPr>
          <w:p w:rsidR="000B01CE" w:rsidRDefault="000B01CE" w:rsidP="000B01CE">
            <w:pPr>
              <w:rPr>
                <w:rFonts w:ascii="Arial" w:hAnsi="Arial" w:cs="Arial"/>
                <w:sz w:val="24"/>
              </w:rPr>
            </w:pPr>
          </w:p>
          <w:p w:rsidR="008317ED" w:rsidRPr="008317ED" w:rsidRDefault="008317ED" w:rsidP="00BA072A">
            <w:pPr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5226" w:type="dxa"/>
          </w:tcPr>
          <w:p w:rsidR="000B01CE" w:rsidRPr="00DF6DA8" w:rsidRDefault="000B01CE" w:rsidP="000B01CE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Operational Updates</w:t>
            </w:r>
          </w:p>
          <w:p w:rsidR="004D17D8" w:rsidRDefault="003B2EBE" w:rsidP="004D17D8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3" w:history="1">
              <w:r w:rsidR="0003108B" w:rsidRPr="00490315">
                <w:rPr>
                  <w:rStyle w:val="Hyperlink"/>
                  <w:rFonts w:ascii="Arial" w:hAnsi="Arial" w:cs="Arial"/>
                  <w:sz w:val="24"/>
                </w:rPr>
                <w:t>Quarterly</w:t>
              </w:r>
            </w:hyperlink>
            <w:r w:rsidR="0003108B">
              <w:rPr>
                <w:rFonts w:ascii="Arial" w:hAnsi="Arial" w:cs="Arial"/>
                <w:sz w:val="24"/>
              </w:rPr>
              <w:t xml:space="preserve"> </w:t>
            </w:r>
            <w:r w:rsidR="00C3020E">
              <w:rPr>
                <w:rFonts w:ascii="Arial" w:hAnsi="Arial" w:cs="Arial"/>
                <w:sz w:val="24"/>
              </w:rPr>
              <w:t xml:space="preserve">and </w:t>
            </w:r>
            <w:hyperlink r:id="rId14" w:history="1">
              <w:r w:rsidR="00C3020E" w:rsidRPr="00490315">
                <w:rPr>
                  <w:rStyle w:val="Hyperlink"/>
                  <w:rFonts w:ascii="Arial" w:hAnsi="Arial" w:cs="Arial"/>
                  <w:sz w:val="24"/>
                </w:rPr>
                <w:t xml:space="preserve">Annual </w:t>
              </w:r>
              <w:r w:rsidR="0003108B" w:rsidRPr="00490315">
                <w:rPr>
                  <w:rStyle w:val="Hyperlink"/>
                  <w:rFonts w:ascii="Arial" w:hAnsi="Arial" w:cs="Arial"/>
                  <w:sz w:val="24"/>
                </w:rPr>
                <w:t>Disability Report</w:t>
              </w:r>
            </w:hyperlink>
          </w:p>
          <w:p w:rsidR="00055596" w:rsidRDefault="00055596" w:rsidP="004D17D8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  <w:p w:rsidR="004D17D8" w:rsidRPr="004D17D8" w:rsidRDefault="004D17D8" w:rsidP="004D17D8">
            <w:p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2890" w:type="dxa"/>
          </w:tcPr>
          <w:p w:rsidR="000B01CE" w:rsidRDefault="000B01CE" w:rsidP="000B01CE">
            <w:pPr>
              <w:rPr>
                <w:rFonts w:ascii="Arial" w:hAnsi="Arial" w:cs="Arial"/>
                <w:sz w:val="24"/>
              </w:rPr>
            </w:pPr>
          </w:p>
          <w:p w:rsidR="004D17D8" w:rsidRPr="004D17D8" w:rsidRDefault="004D17D8" w:rsidP="00EF4388">
            <w:pPr>
              <w:ind w:right="-288"/>
              <w:rPr>
                <w:rFonts w:ascii="Arial" w:hAnsi="Arial" w:cs="Arial"/>
                <w:sz w:val="24"/>
              </w:rPr>
            </w:pPr>
          </w:p>
        </w:tc>
      </w:tr>
      <w:tr w:rsidR="00C80634" w:rsidTr="00C3020E">
        <w:trPr>
          <w:trHeight w:val="533"/>
        </w:trPr>
        <w:tc>
          <w:tcPr>
            <w:tcW w:w="1518" w:type="dxa"/>
          </w:tcPr>
          <w:p w:rsidR="00C80634" w:rsidRPr="00DF6DA8" w:rsidRDefault="0003108B" w:rsidP="00A521D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</w:t>
            </w:r>
            <w:r w:rsidR="00A521D2">
              <w:rPr>
                <w:rFonts w:ascii="Arial" w:hAnsi="Arial" w:cs="Arial"/>
                <w:sz w:val="24"/>
              </w:rPr>
              <w:t>3</w:t>
            </w:r>
            <w:r w:rsidR="008A6496">
              <w:rPr>
                <w:rFonts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831" w:type="dxa"/>
          </w:tcPr>
          <w:p w:rsidR="00C80634" w:rsidRPr="00DF6DA8" w:rsidRDefault="00C80634">
            <w:p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:rsidR="00C80634" w:rsidRPr="00DF6DA8" w:rsidRDefault="00C80634" w:rsidP="00D745CF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Adjournment</w:t>
            </w:r>
          </w:p>
          <w:p w:rsidR="00C80634" w:rsidRPr="00DF6DA8" w:rsidRDefault="00C80634" w:rsidP="00DC2B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90" w:type="dxa"/>
          </w:tcPr>
          <w:p w:rsidR="00C80634" w:rsidRDefault="00C80634" w:rsidP="006D568E"/>
        </w:tc>
      </w:tr>
    </w:tbl>
    <w:p w:rsidR="00215FB1" w:rsidRPr="00FA00BB" w:rsidRDefault="00215FB1">
      <w:pPr>
        <w:rPr>
          <w:rFonts w:ascii="Arial" w:hAnsi="Arial" w:cs="Arial"/>
        </w:rPr>
      </w:pPr>
    </w:p>
    <w:p w:rsidR="00466E5A" w:rsidRPr="003E1672" w:rsidRDefault="00466E5A" w:rsidP="003E1672">
      <w:pPr>
        <w:pStyle w:val="Heading2"/>
        <w:rPr>
          <w:rFonts w:cs="Tahoma"/>
          <w:b w:val="0"/>
          <w:i/>
          <w:sz w:val="20"/>
          <w:szCs w:val="20"/>
        </w:rPr>
      </w:pPr>
      <w:r w:rsidRPr="003E1672">
        <w:rPr>
          <w:rFonts w:cs="Tahoma"/>
          <w:b w:val="0"/>
          <w:i/>
          <w:sz w:val="20"/>
          <w:szCs w:val="20"/>
        </w:rPr>
        <w:t>Times shown are estimates only.</w:t>
      </w:r>
    </w:p>
    <w:p w:rsidR="00B804C0" w:rsidRDefault="00466E5A" w:rsidP="003E1672">
      <w:pPr>
        <w:pStyle w:val="Heading2"/>
        <w:rPr>
          <w:rFonts w:cs="Tahoma"/>
          <w:b w:val="0"/>
          <w:i/>
          <w:sz w:val="20"/>
          <w:szCs w:val="20"/>
        </w:rPr>
      </w:pPr>
      <w:r w:rsidRPr="003E1672">
        <w:rPr>
          <w:rFonts w:cs="Tahoma"/>
          <w:b w:val="0"/>
          <w:i/>
          <w:sz w:val="20"/>
          <w:szCs w:val="20"/>
        </w:rPr>
        <w:t>Please note items may be taken in order other than listed.</w:t>
      </w:r>
    </w:p>
    <w:p w:rsidR="00EF4388" w:rsidRPr="00EF4388" w:rsidRDefault="00EF4388" w:rsidP="00EF4388"/>
    <w:p w:rsidR="003E1672" w:rsidRPr="003E1672" w:rsidRDefault="003E1672" w:rsidP="00EF4388">
      <w:pPr>
        <w:ind w:left="-90"/>
      </w:pPr>
      <w:r w:rsidRPr="00CE689A">
        <w:rPr>
          <w:rFonts w:ascii="Arial" w:hAnsi="Arial" w:cs="Arial"/>
          <w:b/>
          <w:sz w:val="24"/>
        </w:rPr>
        <w:t xml:space="preserve">NOTE:  </w:t>
      </w:r>
      <w:r w:rsidRPr="00CE689A">
        <w:rPr>
          <w:rFonts w:ascii="Arial" w:hAnsi="Arial" w:cs="Arial"/>
          <w:sz w:val="24"/>
        </w:rPr>
        <w:t>A quorum of the Wisconsin Retirement (</w:t>
      </w:r>
      <w:r>
        <w:rPr>
          <w:rFonts w:ascii="Arial" w:hAnsi="Arial" w:cs="Arial"/>
          <w:sz w:val="24"/>
        </w:rPr>
        <w:t>WR) Board and Employee Trust Funds</w:t>
      </w:r>
      <w:r w:rsidRPr="00CE689A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ETF</w:t>
      </w:r>
      <w:r w:rsidRPr="00CE689A">
        <w:rPr>
          <w:rFonts w:ascii="Arial" w:hAnsi="Arial" w:cs="Arial"/>
          <w:sz w:val="24"/>
        </w:rPr>
        <w:t xml:space="preserve">) Board may be in attendance at the </w:t>
      </w:r>
      <w:r>
        <w:rPr>
          <w:rFonts w:ascii="Arial" w:hAnsi="Arial" w:cs="Arial"/>
          <w:sz w:val="24"/>
        </w:rPr>
        <w:t xml:space="preserve">Teachers Retirement </w:t>
      </w:r>
      <w:r w:rsidRPr="00CE689A">
        <w:rPr>
          <w:rFonts w:ascii="Arial" w:hAnsi="Arial" w:cs="Arial"/>
          <w:sz w:val="24"/>
        </w:rPr>
        <w:t xml:space="preserve">Board meeting.  The WR and </w:t>
      </w:r>
      <w:r>
        <w:rPr>
          <w:rFonts w:ascii="Arial" w:hAnsi="Arial" w:cs="Arial"/>
          <w:sz w:val="24"/>
        </w:rPr>
        <w:t>ETF</w:t>
      </w:r>
      <w:r w:rsidRPr="00CE689A">
        <w:rPr>
          <w:rFonts w:ascii="Arial" w:hAnsi="Arial" w:cs="Arial"/>
          <w:sz w:val="24"/>
        </w:rPr>
        <w:t xml:space="preserve"> Boards will not be conducting business.</w:t>
      </w:r>
    </w:p>
    <w:sectPr w:rsidR="003E1672" w:rsidRPr="003E1672" w:rsidSect="00EF4388">
      <w:footerReference w:type="default" r:id="rId15"/>
      <w:footerReference w:type="first" r:id="rId16"/>
      <w:pgSz w:w="12240" w:h="15840"/>
      <w:pgMar w:top="720" w:right="1440" w:bottom="720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FA7" w:rsidRDefault="00546FA7" w:rsidP="007E1971">
      <w:r>
        <w:separator/>
      </w:r>
    </w:p>
  </w:endnote>
  <w:endnote w:type="continuationSeparator" w:id="0">
    <w:p w:rsidR="00546FA7" w:rsidRDefault="00546FA7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A7" w:rsidRPr="00DF6DA8" w:rsidRDefault="00546FA7" w:rsidP="007E1971">
    <w:pPr>
      <w:jc w:val="center"/>
      <w:rPr>
        <w:rFonts w:ascii="Arial" w:hAnsi="Arial" w:cs="Arial"/>
        <w:b/>
        <w:sz w:val="16"/>
        <w:szCs w:val="16"/>
      </w:rPr>
    </w:pPr>
  </w:p>
  <w:p w:rsidR="003E1672" w:rsidRPr="00DF6DA8" w:rsidRDefault="003E1672" w:rsidP="003E1672">
    <w:pPr>
      <w:jc w:val="center"/>
      <w:rPr>
        <w:rFonts w:ascii="Arial" w:hAnsi="Arial" w:cs="Arial"/>
        <w:b/>
        <w:sz w:val="16"/>
        <w:szCs w:val="16"/>
      </w:rPr>
    </w:pPr>
  </w:p>
  <w:p w:rsidR="00546FA7" w:rsidRDefault="003E1672" w:rsidP="003E1672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r w:rsidRPr="00CF2859">
      <w:rPr>
        <w:rFonts w:ascii="Arial" w:hAnsi="Arial" w:cs="Arial"/>
        <w:b/>
        <w:sz w:val="16"/>
        <w:szCs w:val="16"/>
      </w:rPr>
      <w:t>http://etf.wi.gov/gov_boards.htm</w:t>
    </w:r>
    <w:r w:rsidRPr="00DF6DA8">
      <w:rPr>
        <w:rFonts w:ascii="Arial" w:hAnsi="Arial" w:cs="Arial"/>
        <w:b/>
        <w:sz w:val="16"/>
        <w:szCs w:val="16"/>
      </w:rPr>
      <w:t>.</w:t>
    </w:r>
  </w:p>
  <w:p w:rsidR="003E1672" w:rsidRPr="00DF6DA8" w:rsidRDefault="003E1672" w:rsidP="003E1672">
    <w:pPr>
      <w:jc w:val="center"/>
      <w:rPr>
        <w:rFonts w:ascii="Arial" w:hAnsi="Arial" w:cs="Arial"/>
        <w:b/>
        <w:sz w:val="16"/>
        <w:szCs w:val="16"/>
      </w:rPr>
    </w:pPr>
  </w:p>
  <w:p w:rsidR="00546FA7" w:rsidRPr="00DF6DA8" w:rsidRDefault="00546FA7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546FA7" w:rsidRPr="00DF6DA8" w:rsidRDefault="00546FA7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546FA7" w:rsidRPr="00DF6DA8" w:rsidRDefault="00546FA7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546FA7" w:rsidRPr="007E20D7" w:rsidRDefault="00546FA7" w:rsidP="007E1971">
    <w:pPr>
      <w:pStyle w:val="Footer"/>
    </w:pPr>
  </w:p>
  <w:p w:rsidR="00546FA7" w:rsidRDefault="00546FA7">
    <w:pPr>
      <w:pStyle w:val="Footer"/>
    </w:pPr>
  </w:p>
  <w:p w:rsidR="00546FA7" w:rsidRDefault="00546F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A7" w:rsidRPr="00DF6DA8" w:rsidRDefault="00546FA7" w:rsidP="00B804C0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="00E61855" w:rsidRPr="004424B2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 w:rsidRPr="00DF6DA8">
      <w:rPr>
        <w:rFonts w:ascii="Arial" w:hAnsi="Arial" w:cs="Arial"/>
        <w:b/>
        <w:sz w:val="16"/>
        <w:szCs w:val="16"/>
      </w:rPr>
      <w:t xml:space="preserve">. </w:t>
    </w:r>
  </w:p>
  <w:p w:rsidR="00546FA7" w:rsidRPr="00DF6DA8" w:rsidRDefault="00546FA7" w:rsidP="00B804C0">
    <w:pPr>
      <w:jc w:val="center"/>
      <w:rPr>
        <w:rFonts w:ascii="Arial" w:hAnsi="Arial" w:cs="Arial"/>
        <w:b/>
        <w:sz w:val="16"/>
        <w:szCs w:val="16"/>
      </w:rPr>
    </w:pPr>
  </w:p>
  <w:p w:rsidR="00546FA7" w:rsidRPr="00DF6DA8" w:rsidRDefault="00546FA7" w:rsidP="00B804C0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546FA7" w:rsidRPr="00DF6DA8" w:rsidRDefault="00546FA7" w:rsidP="00B804C0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546FA7" w:rsidRPr="00DF6DA8" w:rsidRDefault="00546FA7" w:rsidP="00B804C0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546FA7" w:rsidRPr="007E20D7" w:rsidRDefault="00546FA7" w:rsidP="00B804C0">
    <w:pPr>
      <w:pStyle w:val="Footer"/>
    </w:pPr>
  </w:p>
  <w:p w:rsidR="00546FA7" w:rsidRDefault="00546F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FA7" w:rsidRDefault="00546FA7" w:rsidP="007E1971">
      <w:r>
        <w:separator/>
      </w:r>
    </w:p>
  </w:footnote>
  <w:footnote w:type="continuationSeparator" w:id="0">
    <w:p w:rsidR="00546FA7" w:rsidRDefault="00546FA7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" o:spid="_x0000_i1026" type="#_x0000_t75" style="width:23.4pt;height:13.2pt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B23EE"/>
    <w:multiLevelType w:val="hybridMultilevel"/>
    <w:tmpl w:val="574A0B8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8">
    <w:nsid w:val="19A340C8"/>
    <w:multiLevelType w:val="hybridMultilevel"/>
    <w:tmpl w:val="194CFB5E"/>
    <w:lvl w:ilvl="0" w:tplc="FC0AA9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4C7352"/>
    <w:multiLevelType w:val="hybridMultilevel"/>
    <w:tmpl w:val="2278B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3798E"/>
    <w:multiLevelType w:val="hybridMultilevel"/>
    <w:tmpl w:val="A5DA1C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A1056"/>
    <w:multiLevelType w:val="hybridMultilevel"/>
    <w:tmpl w:val="C84A5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261387"/>
    <w:multiLevelType w:val="hybridMultilevel"/>
    <w:tmpl w:val="F8AC78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7">
    <w:nsid w:val="298218F6"/>
    <w:multiLevelType w:val="hybridMultilevel"/>
    <w:tmpl w:val="F0881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E715644"/>
    <w:multiLevelType w:val="hybridMultilevel"/>
    <w:tmpl w:val="C8889DEC"/>
    <w:lvl w:ilvl="0" w:tplc="A208AB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BD0B3C"/>
    <w:multiLevelType w:val="hybridMultilevel"/>
    <w:tmpl w:val="CA583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B646C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774F4A"/>
    <w:multiLevelType w:val="hybridMultilevel"/>
    <w:tmpl w:val="1B7809A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4">
    <w:nsid w:val="5E430D82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633D97"/>
    <w:multiLevelType w:val="hybridMultilevel"/>
    <w:tmpl w:val="31C49B1A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6">
    <w:nsid w:val="61984562"/>
    <w:multiLevelType w:val="hybridMultilevel"/>
    <w:tmpl w:val="5A584484"/>
    <w:lvl w:ilvl="0" w:tplc="045EC1E0">
      <w:start w:val="1"/>
      <w:numFmt w:val="upperLetter"/>
      <w:lvlText w:val="%1."/>
      <w:lvlJc w:val="left"/>
      <w:pPr>
        <w:ind w:left="756" w:hanging="360"/>
      </w:pPr>
      <w:rPr>
        <w:rFonts w:ascii="Tahoma" w:hAnsi="Tahom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7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6"/>
  </w:num>
  <w:num w:numId="8">
    <w:abstractNumId w:val="20"/>
  </w:num>
  <w:num w:numId="9">
    <w:abstractNumId w:val="6"/>
  </w:num>
  <w:num w:numId="10">
    <w:abstractNumId w:val="5"/>
  </w:num>
  <w:num w:numId="11">
    <w:abstractNumId w:val="19"/>
  </w:num>
  <w:num w:numId="12">
    <w:abstractNumId w:val="27"/>
  </w:num>
  <w:num w:numId="13">
    <w:abstractNumId w:val="11"/>
  </w:num>
  <w:num w:numId="14">
    <w:abstractNumId w:val="13"/>
  </w:num>
  <w:num w:numId="15">
    <w:abstractNumId w:val="26"/>
  </w:num>
  <w:num w:numId="16">
    <w:abstractNumId w:val="18"/>
  </w:num>
  <w:num w:numId="17">
    <w:abstractNumId w:val="17"/>
  </w:num>
  <w:num w:numId="18">
    <w:abstractNumId w:val="23"/>
  </w:num>
  <w:num w:numId="19">
    <w:abstractNumId w:val="7"/>
  </w:num>
  <w:num w:numId="20">
    <w:abstractNumId w:val="25"/>
  </w:num>
  <w:num w:numId="21">
    <w:abstractNumId w:val="24"/>
  </w:num>
  <w:num w:numId="22">
    <w:abstractNumId w:val="10"/>
  </w:num>
  <w:num w:numId="23">
    <w:abstractNumId w:val="22"/>
  </w:num>
  <w:num w:numId="24">
    <w:abstractNumId w:val="14"/>
  </w:num>
  <w:num w:numId="25">
    <w:abstractNumId w:val="15"/>
  </w:num>
  <w:num w:numId="26">
    <w:abstractNumId w:val="21"/>
  </w:num>
  <w:num w:numId="27">
    <w:abstractNumId w:val="9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2009C"/>
    <w:rsid w:val="0003108B"/>
    <w:rsid w:val="00055596"/>
    <w:rsid w:val="000920D0"/>
    <w:rsid w:val="00096128"/>
    <w:rsid w:val="00096D11"/>
    <w:rsid w:val="000A448D"/>
    <w:rsid w:val="000B01CE"/>
    <w:rsid w:val="000B3436"/>
    <w:rsid w:val="000C1058"/>
    <w:rsid w:val="000E5725"/>
    <w:rsid w:val="000E645C"/>
    <w:rsid w:val="000E66D2"/>
    <w:rsid w:val="000F173B"/>
    <w:rsid w:val="00103402"/>
    <w:rsid w:val="00153DA6"/>
    <w:rsid w:val="001576B0"/>
    <w:rsid w:val="00157B72"/>
    <w:rsid w:val="00170697"/>
    <w:rsid w:val="00177960"/>
    <w:rsid w:val="00185CD0"/>
    <w:rsid w:val="001A0D31"/>
    <w:rsid w:val="001A313B"/>
    <w:rsid w:val="001B0491"/>
    <w:rsid w:val="001E267D"/>
    <w:rsid w:val="001F5E52"/>
    <w:rsid w:val="00215FB1"/>
    <w:rsid w:val="002208B9"/>
    <w:rsid w:val="0023182A"/>
    <w:rsid w:val="00271F6F"/>
    <w:rsid w:val="002A59B4"/>
    <w:rsid w:val="002C1B36"/>
    <w:rsid w:val="002F2ED5"/>
    <w:rsid w:val="00300E65"/>
    <w:rsid w:val="00314274"/>
    <w:rsid w:val="00320DE8"/>
    <w:rsid w:val="003708E8"/>
    <w:rsid w:val="00384522"/>
    <w:rsid w:val="00391A9C"/>
    <w:rsid w:val="003A02CF"/>
    <w:rsid w:val="003B2EBE"/>
    <w:rsid w:val="003C7AAD"/>
    <w:rsid w:val="003D2CCE"/>
    <w:rsid w:val="003E1672"/>
    <w:rsid w:val="003E7F9C"/>
    <w:rsid w:val="003F1A00"/>
    <w:rsid w:val="00420F72"/>
    <w:rsid w:val="004229F0"/>
    <w:rsid w:val="00433FE4"/>
    <w:rsid w:val="00443DCB"/>
    <w:rsid w:val="00466E5A"/>
    <w:rsid w:val="00480FD8"/>
    <w:rsid w:val="00481062"/>
    <w:rsid w:val="00490315"/>
    <w:rsid w:val="004B1E4E"/>
    <w:rsid w:val="004B493F"/>
    <w:rsid w:val="004C49D1"/>
    <w:rsid w:val="004D17D8"/>
    <w:rsid w:val="004E06CF"/>
    <w:rsid w:val="004F46C8"/>
    <w:rsid w:val="00513EFE"/>
    <w:rsid w:val="00546FA7"/>
    <w:rsid w:val="0057347A"/>
    <w:rsid w:val="005A4CA9"/>
    <w:rsid w:val="005C369C"/>
    <w:rsid w:val="005D7A5F"/>
    <w:rsid w:val="005E2C91"/>
    <w:rsid w:val="005E3BBC"/>
    <w:rsid w:val="005F3D51"/>
    <w:rsid w:val="00604F64"/>
    <w:rsid w:val="00605DF4"/>
    <w:rsid w:val="00613B7F"/>
    <w:rsid w:val="0061777C"/>
    <w:rsid w:val="00647522"/>
    <w:rsid w:val="00675E2E"/>
    <w:rsid w:val="006A3D83"/>
    <w:rsid w:val="006A63D3"/>
    <w:rsid w:val="006C55F5"/>
    <w:rsid w:val="006D2599"/>
    <w:rsid w:val="006D568E"/>
    <w:rsid w:val="006D7DAC"/>
    <w:rsid w:val="006E4F55"/>
    <w:rsid w:val="00712A35"/>
    <w:rsid w:val="0072008B"/>
    <w:rsid w:val="00760E2A"/>
    <w:rsid w:val="00770524"/>
    <w:rsid w:val="0077653F"/>
    <w:rsid w:val="007859D8"/>
    <w:rsid w:val="007C645B"/>
    <w:rsid w:val="007D13F0"/>
    <w:rsid w:val="007E1971"/>
    <w:rsid w:val="007E766D"/>
    <w:rsid w:val="00803911"/>
    <w:rsid w:val="00822F8C"/>
    <w:rsid w:val="008317ED"/>
    <w:rsid w:val="008700FE"/>
    <w:rsid w:val="008A3ACF"/>
    <w:rsid w:val="008A4AF9"/>
    <w:rsid w:val="008A6496"/>
    <w:rsid w:val="008B68E0"/>
    <w:rsid w:val="008D57EF"/>
    <w:rsid w:val="0090326A"/>
    <w:rsid w:val="00912B62"/>
    <w:rsid w:val="0094618E"/>
    <w:rsid w:val="00970F05"/>
    <w:rsid w:val="009A539D"/>
    <w:rsid w:val="009C76F8"/>
    <w:rsid w:val="009E0981"/>
    <w:rsid w:val="009F0903"/>
    <w:rsid w:val="00A046BF"/>
    <w:rsid w:val="00A04AF7"/>
    <w:rsid w:val="00A20278"/>
    <w:rsid w:val="00A31045"/>
    <w:rsid w:val="00A3476C"/>
    <w:rsid w:val="00A4253A"/>
    <w:rsid w:val="00A449E2"/>
    <w:rsid w:val="00A46FCD"/>
    <w:rsid w:val="00A502B0"/>
    <w:rsid w:val="00A521D2"/>
    <w:rsid w:val="00A60700"/>
    <w:rsid w:val="00A95182"/>
    <w:rsid w:val="00A975AC"/>
    <w:rsid w:val="00AA7512"/>
    <w:rsid w:val="00AB0A8A"/>
    <w:rsid w:val="00AB430C"/>
    <w:rsid w:val="00AD38F7"/>
    <w:rsid w:val="00AD5E7D"/>
    <w:rsid w:val="00AF764A"/>
    <w:rsid w:val="00B10253"/>
    <w:rsid w:val="00B1229F"/>
    <w:rsid w:val="00B329F7"/>
    <w:rsid w:val="00B35C69"/>
    <w:rsid w:val="00B56C73"/>
    <w:rsid w:val="00B804C0"/>
    <w:rsid w:val="00B83E5E"/>
    <w:rsid w:val="00BA072A"/>
    <w:rsid w:val="00BA711F"/>
    <w:rsid w:val="00BB00C8"/>
    <w:rsid w:val="00BC0EF3"/>
    <w:rsid w:val="00BD352C"/>
    <w:rsid w:val="00BF0866"/>
    <w:rsid w:val="00C042F4"/>
    <w:rsid w:val="00C3020E"/>
    <w:rsid w:val="00C80634"/>
    <w:rsid w:val="00C862AC"/>
    <w:rsid w:val="00CD440E"/>
    <w:rsid w:val="00CE4016"/>
    <w:rsid w:val="00CE55D6"/>
    <w:rsid w:val="00CF3740"/>
    <w:rsid w:val="00D268A5"/>
    <w:rsid w:val="00D35470"/>
    <w:rsid w:val="00D37D29"/>
    <w:rsid w:val="00D52487"/>
    <w:rsid w:val="00D56C0C"/>
    <w:rsid w:val="00D634CE"/>
    <w:rsid w:val="00D745CF"/>
    <w:rsid w:val="00D868B9"/>
    <w:rsid w:val="00D963B1"/>
    <w:rsid w:val="00DB696F"/>
    <w:rsid w:val="00DC2B7D"/>
    <w:rsid w:val="00DD0053"/>
    <w:rsid w:val="00DF530E"/>
    <w:rsid w:val="00DF6DA8"/>
    <w:rsid w:val="00E00DD4"/>
    <w:rsid w:val="00E175B0"/>
    <w:rsid w:val="00E36CE6"/>
    <w:rsid w:val="00E61855"/>
    <w:rsid w:val="00E7243F"/>
    <w:rsid w:val="00EB3FE1"/>
    <w:rsid w:val="00EC246E"/>
    <w:rsid w:val="00EC5770"/>
    <w:rsid w:val="00ED149A"/>
    <w:rsid w:val="00EF4388"/>
    <w:rsid w:val="00F05D9A"/>
    <w:rsid w:val="00F07B16"/>
    <w:rsid w:val="00F10238"/>
    <w:rsid w:val="00F2080D"/>
    <w:rsid w:val="00F34917"/>
    <w:rsid w:val="00F41BFB"/>
    <w:rsid w:val="00F46388"/>
    <w:rsid w:val="00F47B65"/>
    <w:rsid w:val="00F55328"/>
    <w:rsid w:val="00FA00BB"/>
    <w:rsid w:val="00FA2D30"/>
    <w:rsid w:val="00FB5E92"/>
    <w:rsid w:val="00FC40D8"/>
    <w:rsid w:val="00FC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E6185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http://etf.wi.gov/boards/agenda-items-2013/etf032013/tr/item5a1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etf.wi.gov/boards/agenda-items-2013/etf032013/tr/item4c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3/etf032013/tr/item4b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etf.wi.gov/boards/agenda-items-2013/etf032013/tr/item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3/etf032013/tr/item1.pdf" TargetMode="External"/><Relationship Id="rId14" Type="http://schemas.openxmlformats.org/officeDocument/2006/relationships/hyperlink" Target="http://etf.wi.gov/boards/agenda-items-2013/etf032013/tr/item5a2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95</TotalTime>
  <Pages>1</Pages>
  <Words>166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7</cp:revision>
  <cp:lastPrinted>2013-02-14T17:09:00Z</cp:lastPrinted>
  <dcterms:created xsi:type="dcterms:W3CDTF">2013-02-14T17:09:00Z</dcterms:created>
  <dcterms:modified xsi:type="dcterms:W3CDTF">2013-02-25T15:40:00Z</dcterms:modified>
</cp:coreProperties>
</file>