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46FA7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Teachers</w:t>
      </w:r>
      <w:r w:rsidR="00D37D29">
        <w:rPr>
          <w:rFonts w:ascii="Arial Black" w:hAnsi="Arial Black" w:cs="Arial"/>
          <w:b/>
          <w:sz w:val="32"/>
          <w:szCs w:val="32"/>
        </w:rPr>
        <w:t xml:space="preserve"> Retirement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15FB1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5A4CA9">
        <w:rPr>
          <w:rFonts w:ascii="Arial Black" w:hAnsi="Arial Black" w:cs="Arial"/>
          <w:sz w:val="24"/>
        </w:rPr>
        <w:t xml:space="preserve"> </w:t>
      </w:r>
      <w:r w:rsidR="00727B67">
        <w:rPr>
          <w:rFonts w:ascii="Arial Black" w:hAnsi="Arial Black" w:cs="Arial"/>
          <w:sz w:val="24"/>
        </w:rPr>
        <w:t>June 20</w:t>
      </w:r>
      <w:r w:rsidR="00170697">
        <w:rPr>
          <w:rFonts w:ascii="Arial Black" w:hAnsi="Arial Black" w:cs="Arial"/>
          <w:sz w:val="24"/>
        </w:rPr>
        <w:t>, 2013</w:t>
      </w:r>
    </w:p>
    <w:p w:rsidR="00C3020E" w:rsidRDefault="00B10253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C3020E">
        <w:rPr>
          <w:rFonts w:ascii="Arial" w:hAnsi="Arial" w:cs="Arial"/>
          <w:sz w:val="24"/>
        </w:rPr>
        <w:t>Upon the conclusion of the Wisconsin Retirement</w:t>
      </w:r>
    </w:p>
    <w:p w:rsidR="00D37D29" w:rsidRPr="00D37D29" w:rsidRDefault="00C3020E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Board meeting, approximately 1:</w:t>
      </w:r>
      <w:r w:rsidR="00AE1082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p.m.</w:t>
      </w:r>
      <w:r w:rsidR="00B10253">
        <w:rPr>
          <w:rFonts w:ascii="Arial" w:hAnsi="Arial" w:cs="Arial"/>
          <w:sz w:val="24"/>
        </w:rPr>
        <w:t>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90386B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890"/>
      </w:tblGrid>
      <w:tr w:rsidR="005D7A5F" w:rsidRPr="00DF6DA8" w:rsidTr="00C3020E">
        <w:trPr>
          <w:trHeight w:val="245"/>
        </w:trPr>
        <w:tc>
          <w:tcPr>
            <w:tcW w:w="1518" w:type="dxa"/>
          </w:tcPr>
          <w:p w:rsidR="005D7A5F" w:rsidRPr="00DF6DA8" w:rsidRDefault="00C45A72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</w:t>
            </w:r>
            <w:r w:rsidR="008A6496">
              <w:rPr>
                <w:rFonts w:ascii="Arial" w:hAnsi="Arial" w:cs="Arial"/>
                <w:sz w:val="24"/>
              </w:rPr>
              <w:t xml:space="preserve"> </w:t>
            </w:r>
            <w:r w:rsidR="00A521D2"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72585" w:rsidRPr="00DF6DA8" w:rsidTr="005E288B">
        <w:trPr>
          <w:trHeight w:val="560"/>
        </w:trPr>
        <w:tc>
          <w:tcPr>
            <w:tcW w:w="1518" w:type="dxa"/>
          </w:tcPr>
          <w:p w:rsidR="00872585" w:rsidRPr="00DF6DA8" w:rsidRDefault="00872585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 p.m.</w:t>
            </w:r>
          </w:p>
        </w:tc>
        <w:tc>
          <w:tcPr>
            <w:tcW w:w="831" w:type="dxa"/>
          </w:tcPr>
          <w:p w:rsidR="00872585" w:rsidRPr="00DF6DA8" w:rsidRDefault="00E9773B">
            <w:pPr>
              <w:rPr>
                <w:rFonts w:ascii="Arial" w:hAnsi="Arial" w:cs="Arial"/>
                <w:sz w:val="24"/>
              </w:rPr>
            </w:pPr>
            <w:r w:rsidRPr="00E9773B">
              <w:rPr>
                <w:rFonts w:ascii="Arial" w:hAnsi="Arial" w:cs="Arial"/>
                <w:sz w:val="24"/>
              </w:rPr>
              <w:pict>
                <v:shape id="_x0000_i1026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116" w:type="dxa"/>
            <w:gridSpan w:val="2"/>
          </w:tcPr>
          <w:p w:rsidR="00872585" w:rsidRPr="00DF6DA8" w:rsidRDefault="00E9773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872585" w:rsidRPr="00A42119">
                <w:rPr>
                  <w:rStyle w:val="Hyperlink"/>
                  <w:rFonts w:ascii="Arial" w:hAnsi="Arial" w:cs="Arial"/>
                  <w:sz w:val="24"/>
                </w:rPr>
                <w:t>Consideration of March 7, 2013, Meeting Minutes</w:t>
              </w:r>
            </w:hyperlink>
          </w:p>
          <w:p w:rsidR="00872585" w:rsidRPr="00DF6DA8" w:rsidRDefault="0087258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C3020E">
        <w:trPr>
          <w:trHeight w:val="533"/>
        </w:trPr>
        <w:tc>
          <w:tcPr>
            <w:tcW w:w="1518" w:type="dxa"/>
          </w:tcPr>
          <w:p w:rsidR="005D7A5F" w:rsidRPr="00DF6DA8" w:rsidRDefault="008A6496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C45A72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521D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872585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46FA7" w:rsidRDefault="00546FA7" w:rsidP="00546FA7">
            <w:pPr>
              <w:rPr>
                <w:rFonts w:ascii="Arial" w:hAnsi="Arial" w:cs="Arial"/>
                <w:sz w:val="24"/>
              </w:rPr>
            </w:pPr>
          </w:p>
          <w:p w:rsidR="00675E2E" w:rsidRPr="00AB430C" w:rsidRDefault="00675E2E" w:rsidP="00727B67">
            <w:pPr>
              <w:rPr>
                <w:rFonts w:ascii="Arial" w:hAnsi="Arial" w:cs="Arial"/>
                <w:sz w:val="24"/>
              </w:rPr>
            </w:pPr>
          </w:p>
        </w:tc>
      </w:tr>
      <w:tr w:rsidR="00872585" w:rsidRPr="00DF6DA8" w:rsidTr="00BE3CD3">
        <w:trPr>
          <w:trHeight w:val="623"/>
        </w:trPr>
        <w:tc>
          <w:tcPr>
            <w:tcW w:w="1518" w:type="dxa"/>
          </w:tcPr>
          <w:p w:rsidR="00872585" w:rsidRPr="00DF6DA8" w:rsidRDefault="00872585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 p.m.</w:t>
            </w:r>
          </w:p>
        </w:tc>
        <w:tc>
          <w:tcPr>
            <w:tcW w:w="831" w:type="dxa"/>
          </w:tcPr>
          <w:p w:rsidR="00872585" w:rsidRDefault="00872585">
            <w:pPr>
              <w:rPr>
                <w:rFonts w:ascii="Arial" w:hAnsi="Arial" w:cs="Arial"/>
                <w:sz w:val="24"/>
              </w:rPr>
            </w:pPr>
          </w:p>
          <w:p w:rsidR="00872585" w:rsidRDefault="00872585">
            <w:pPr>
              <w:rPr>
                <w:rFonts w:ascii="Arial" w:hAnsi="Arial" w:cs="Arial"/>
                <w:sz w:val="24"/>
              </w:rPr>
            </w:pPr>
          </w:p>
          <w:p w:rsidR="00872585" w:rsidRPr="00DF6DA8" w:rsidRDefault="008725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16" w:type="dxa"/>
            <w:gridSpan w:val="2"/>
          </w:tcPr>
          <w:p w:rsidR="00872585" w:rsidRDefault="00872585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Discussion/Consideration</w:t>
            </w:r>
          </w:p>
          <w:p w:rsidR="00872585" w:rsidRDefault="003D6743" w:rsidP="00727B67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872585" w:rsidRPr="003D6743">
                <w:rPr>
                  <w:rStyle w:val="Hyperlink"/>
                  <w:rFonts w:ascii="Arial" w:hAnsi="Arial" w:cs="Arial"/>
                  <w:sz w:val="24"/>
                </w:rPr>
                <w:t>Understanding Board Membership and Terms</w:t>
              </w:r>
            </w:hyperlink>
          </w:p>
          <w:p w:rsidR="00872585" w:rsidRDefault="00872585" w:rsidP="00727B67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Membership Requirements of Open Seats on ETF Board</w:t>
            </w:r>
          </w:p>
          <w:p w:rsidR="00872585" w:rsidRPr="00DF6DA8" w:rsidRDefault="00872585" w:rsidP="00AB430C">
            <w:pPr>
              <w:rPr>
                <w:rFonts w:ascii="Arial" w:hAnsi="Arial" w:cs="Arial"/>
                <w:sz w:val="24"/>
              </w:rPr>
            </w:pPr>
          </w:p>
        </w:tc>
      </w:tr>
      <w:tr w:rsidR="000B01CE" w:rsidRPr="00DF6DA8" w:rsidTr="00C3020E">
        <w:trPr>
          <w:trHeight w:val="839"/>
        </w:trPr>
        <w:tc>
          <w:tcPr>
            <w:tcW w:w="1518" w:type="dxa"/>
          </w:tcPr>
          <w:p w:rsidR="008317ED" w:rsidRPr="00DB696F" w:rsidRDefault="008A6496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03108B">
              <w:rPr>
                <w:rFonts w:ascii="Arial" w:hAnsi="Arial" w:cs="Arial"/>
                <w:b/>
                <w:sz w:val="24"/>
              </w:rPr>
              <w:t>:</w:t>
            </w:r>
            <w:r w:rsidR="00C45A72">
              <w:rPr>
                <w:rFonts w:ascii="Arial" w:hAnsi="Arial" w:cs="Arial"/>
                <w:b/>
                <w:sz w:val="24"/>
              </w:rPr>
              <w:t>35</w:t>
            </w:r>
            <w:r w:rsidR="0003108B">
              <w:rPr>
                <w:rFonts w:ascii="Arial" w:hAnsi="Arial" w:cs="Arial"/>
                <w:b/>
                <w:sz w:val="24"/>
              </w:rPr>
              <w:t xml:space="preserve"> </w:t>
            </w:r>
            <w:r w:rsidR="00A521D2">
              <w:rPr>
                <w:rFonts w:ascii="Arial" w:hAnsi="Arial" w:cs="Arial"/>
                <w:b/>
                <w:sz w:val="24"/>
              </w:rPr>
              <w:t>p</w:t>
            </w:r>
            <w:r w:rsidR="0003108B">
              <w:rPr>
                <w:rFonts w:ascii="Arial" w:hAnsi="Arial" w:cs="Arial"/>
                <w:b/>
                <w:sz w:val="24"/>
              </w:rPr>
              <w:t>.m.</w:t>
            </w:r>
          </w:p>
          <w:p w:rsidR="000F173B" w:rsidRPr="008317ED" w:rsidRDefault="000F173B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8317ED" w:rsidRPr="008317ED" w:rsidRDefault="008317ED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226" w:type="dxa"/>
          </w:tcPr>
          <w:p w:rsidR="000B01CE" w:rsidRPr="00DF6DA8" w:rsidRDefault="000B01CE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4D17D8" w:rsidRDefault="00E9773B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03108B" w:rsidRPr="00A42119">
                <w:rPr>
                  <w:rStyle w:val="Hyperlink"/>
                  <w:rFonts w:ascii="Arial" w:hAnsi="Arial" w:cs="Arial"/>
                  <w:sz w:val="24"/>
                </w:rPr>
                <w:t>Quarterly Disability Report</w:t>
              </w:r>
            </w:hyperlink>
          </w:p>
          <w:p w:rsidR="004D17D8" w:rsidRDefault="00E9773B" w:rsidP="00727B67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3" w:history="1">
              <w:r w:rsidR="00727B67" w:rsidRPr="00A42119">
                <w:rPr>
                  <w:rStyle w:val="Hyperlink"/>
                  <w:rFonts w:ascii="Arial" w:hAnsi="Arial" w:cs="Arial"/>
                  <w:sz w:val="24"/>
                </w:rPr>
                <w:t>Board Roster Update</w:t>
              </w:r>
            </w:hyperlink>
          </w:p>
          <w:p w:rsidR="00727B67" w:rsidRPr="004D17D8" w:rsidRDefault="00727B67" w:rsidP="00727B67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4D17D8" w:rsidRPr="004D17D8" w:rsidRDefault="004D17D8" w:rsidP="00E61855">
            <w:pPr>
              <w:rPr>
                <w:rFonts w:ascii="Arial" w:hAnsi="Arial" w:cs="Arial"/>
                <w:sz w:val="24"/>
              </w:rPr>
            </w:pPr>
          </w:p>
        </w:tc>
      </w:tr>
      <w:tr w:rsidR="00464762" w:rsidRPr="00DF6DA8" w:rsidTr="00464762">
        <w:trPr>
          <w:trHeight w:val="623"/>
        </w:trPr>
        <w:tc>
          <w:tcPr>
            <w:tcW w:w="1518" w:type="dxa"/>
          </w:tcPr>
          <w:p w:rsidR="00464762" w:rsidRDefault="00C45A72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1:40</w:t>
            </w:r>
            <w:r w:rsidR="00464762"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464762" w:rsidRDefault="00464762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464762" w:rsidRPr="00DF6DA8" w:rsidRDefault="00464762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90" w:type="dxa"/>
          </w:tcPr>
          <w:p w:rsidR="00464762" w:rsidRDefault="00464762" w:rsidP="000B01CE">
            <w:pPr>
              <w:rPr>
                <w:rFonts w:ascii="Arial" w:hAnsi="Arial" w:cs="Arial"/>
                <w:sz w:val="24"/>
              </w:rPr>
            </w:pPr>
          </w:p>
        </w:tc>
      </w:tr>
      <w:tr w:rsidR="00C80634" w:rsidTr="00C3020E">
        <w:trPr>
          <w:trHeight w:val="533"/>
        </w:trPr>
        <w:tc>
          <w:tcPr>
            <w:tcW w:w="1518" w:type="dxa"/>
          </w:tcPr>
          <w:p w:rsidR="00C80634" w:rsidRPr="00DF6DA8" w:rsidRDefault="0003108B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C45A72">
              <w:rPr>
                <w:rFonts w:ascii="Arial" w:hAnsi="Arial" w:cs="Arial"/>
                <w:sz w:val="24"/>
              </w:rPr>
              <w:t>45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3E1672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Times shown are estimates only.</w:t>
      </w:r>
    </w:p>
    <w:p w:rsidR="00B804C0" w:rsidRPr="003E1672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Please note items may be taken in order other than listed.</w:t>
      </w:r>
    </w:p>
    <w:p w:rsidR="003E1672" w:rsidRDefault="003E1672" w:rsidP="003E1672"/>
    <w:p w:rsidR="003E1672" w:rsidRPr="006A7A8A" w:rsidRDefault="003E1672" w:rsidP="003E1672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>A quorum of the Wisconsin Retirement (</w:t>
      </w:r>
      <w:r>
        <w:rPr>
          <w:rFonts w:ascii="Arial" w:hAnsi="Arial" w:cs="Arial"/>
          <w:sz w:val="24"/>
        </w:rPr>
        <w:t>WR)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</w:t>
      </w:r>
      <w:r>
        <w:rPr>
          <w:rFonts w:ascii="Arial" w:hAnsi="Arial" w:cs="Arial"/>
          <w:sz w:val="24"/>
        </w:rPr>
        <w:t xml:space="preserve">Teachers Retirement </w:t>
      </w:r>
      <w:r w:rsidRPr="00CE689A">
        <w:rPr>
          <w:rFonts w:ascii="Arial" w:hAnsi="Arial" w:cs="Arial"/>
          <w:sz w:val="24"/>
        </w:rPr>
        <w:t xml:space="preserve">Board meeting.  The WR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p w:rsidR="003E1672" w:rsidRPr="003E1672" w:rsidRDefault="003E1672" w:rsidP="003E1672"/>
    <w:sectPr w:rsidR="003E1672" w:rsidRPr="003E1672" w:rsidSect="00B804C0">
      <w:footerReference w:type="default" r:id="rId14"/>
      <w:footerReference w:type="first" r:id="rId15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4A" w:rsidRDefault="0086344A" w:rsidP="007E1971">
      <w:r>
        <w:separator/>
      </w:r>
    </w:p>
  </w:endnote>
  <w:endnote w:type="continuationSeparator" w:id="0">
    <w:p w:rsidR="0086344A" w:rsidRDefault="0086344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A" w:rsidRPr="00DF6DA8" w:rsidRDefault="0086344A" w:rsidP="007E1971">
    <w:pPr>
      <w:jc w:val="center"/>
      <w:rPr>
        <w:rFonts w:ascii="Arial" w:hAnsi="Arial" w:cs="Arial"/>
        <w:b/>
        <w:sz w:val="16"/>
        <w:szCs w:val="16"/>
      </w:rPr>
    </w:pPr>
  </w:p>
  <w:p w:rsidR="0086344A" w:rsidRPr="00DF6DA8" w:rsidRDefault="0086344A" w:rsidP="003E1672">
    <w:pPr>
      <w:jc w:val="center"/>
      <w:rPr>
        <w:rFonts w:ascii="Arial" w:hAnsi="Arial" w:cs="Arial"/>
        <w:b/>
        <w:sz w:val="16"/>
        <w:szCs w:val="16"/>
      </w:rPr>
    </w:pPr>
  </w:p>
  <w:p w:rsidR="0086344A" w:rsidRDefault="0086344A" w:rsidP="003E167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F2859">
      <w:rPr>
        <w:rFonts w:ascii="Arial" w:hAnsi="Arial" w:cs="Arial"/>
        <w:b/>
        <w:sz w:val="16"/>
        <w:szCs w:val="16"/>
      </w:rPr>
      <w:t>http://etf.wi.gov/gov_boards.htm</w:t>
    </w:r>
    <w:r w:rsidRPr="00DF6DA8">
      <w:rPr>
        <w:rFonts w:ascii="Arial" w:hAnsi="Arial" w:cs="Arial"/>
        <w:b/>
        <w:sz w:val="16"/>
        <w:szCs w:val="16"/>
      </w:rPr>
      <w:t>.</w:t>
    </w:r>
  </w:p>
  <w:p w:rsidR="0086344A" w:rsidRPr="00DF6DA8" w:rsidRDefault="0086344A" w:rsidP="003E1672">
    <w:pPr>
      <w:jc w:val="center"/>
      <w:rPr>
        <w:rFonts w:ascii="Arial" w:hAnsi="Arial" w:cs="Arial"/>
        <w:b/>
        <w:sz w:val="16"/>
        <w:szCs w:val="16"/>
      </w:rPr>
    </w:pPr>
  </w:p>
  <w:p w:rsidR="0086344A" w:rsidRPr="00DF6DA8" w:rsidRDefault="0086344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6344A" w:rsidRPr="00DF6DA8" w:rsidRDefault="0086344A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6344A" w:rsidRPr="00DF6DA8" w:rsidRDefault="0086344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6344A" w:rsidRPr="007E20D7" w:rsidRDefault="0086344A" w:rsidP="007E1971">
    <w:pPr>
      <w:pStyle w:val="Footer"/>
    </w:pPr>
  </w:p>
  <w:p w:rsidR="0086344A" w:rsidRDefault="0086344A">
    <w:pPr>
      <w:pStyle w:val="Footer"/>
    </w:pPr>
  </w:p>
  <w:p w:rsidR="0086344A" w:rsidRDefault="00863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A" w:rsidRPr="00DF6DA8" w:rsidRDefault="0086344A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86344A" w:rsidRPr="00DF6DA8" w:rsidRDefault="0086344A" w:rsidP="00B804C0">
    <w:pPr>
      <w:jc w:val="center"/>
      <w:rPr>
        <w:rFonts w:ascii="Arial" w:hAnsi="Arial" w:cs="Arial"/>
        <w:b/>
        <w:sz w:val="16"/>
        <w:szCs w:val="16"/>
      </w:rPr>
    </w:pPr>
  </w:p>
  <w:p w:rsidR="0086344A" w:rsidRPr="00DF6DA8" w:rsidRDefault="0086344A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6344A" w:rsidRPr="00DF6DA8" w:rsidRDefault="0086344A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6344A" w:rsidRPr="00DF6DA8" w:rsidRDefault="0086344A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6344A" w:rsidRPr="007E20D7" w:rsidRDefault="0086344A" w:rsidP="00B804C0">
    <w:pPr>
      <w:pStyle w:val="Footer"/>
    </w:pPr>
  </w:p>
  <w:p w:rsidR="0086344A" w:rsidRDefault="00863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4A" w:rsidRDefault="0086344A" w:rsidP="007E1971">
      <w:r>
        <w:separator/>
      </w:r>
    </w:p>
  </w:footnote>
  <w:footnote w:type="continuationSeparator" w:id="0">
    <w:p w:rsidR="0086344A" w:rsidRDefault="0086344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4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7"/>
  </w:num>
  <w:num w:numId="13">
    <w:abstractNumId w:val="11"/>
  </w:num>
  <w:num w:numId="14">
    <w:abstractNumId w:val="13"/>
  </w:num>
  <w:num w:numId="15">
    <w:abstractNumId w:val="26"/>
  </w:num>
  <w:num w:numId="16">
    <w:abstractNumId w:val="18"/>
  </w:num>
  <w:num w:numId="17">
    <w:abstractNumId w:val="17"/>
  </w:num>
  <w:num w:numId="18">
    <w:abstractNumId w:val="23"/>
  </w:num>
  <w:num w:numId="19">
    <w:abstractNumId w:val="7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108B"/>
    <w:rsid w:val="00055596"/>
    <w:rsid w:val="000920D0"/>
    <w:rsid w:val="00096128"/>
    <w:rsid w:val="00096D11"/>
    <w:rsid w:val="000A448D"/>
    <w:rsid w:val="000A6837"/>
    <w:rsid w:val="000B01CE"/>
    <w:rsid w:val="000B3436"/>
    <w:rsid w:val="000C1058"/>
    <w:rsid w:val="000E5725"/>
    <w:rsid w:val="000E66D2"/>
    <w:rsid w:val="000F173B"/>
    <w:rsid w:val="00103402"/>
    <w:rsid w:val="00153DA6"/>
    <w:rsid w:val="001576B0"/>
    <w:rsid w:val="00157B72"/>
    <w:rsid w:val="00170697"/>
    <w:rsid w:val="00177960"/>
    <w:rsid w:val="00185CD0"/>
    <w:rsid w:val="001A0D31"/>
    <w:rsid w:val="001A313B"/>
    <w:rsid w:val="001B0491"/>
    <w:rsid w:val="001D5BC1"/>
    <w:rsid w:val="001E267D"/>
    <w:rsid w:val="001F5E52"/>
    <w:rsid w:val="00215FB1"/>
    <w:rsid w:val="002208B9"/>
    <w:rsid w:val="0023182A"/>
    <w:rsid w:val="002674CD"/>
    <w:rsid w:val="00271F6F"/>
    <w:rsid w:val="002A59B4"/>
    <w:rsid w:val="002C1B36"/>
    <w:rsid w:val="002D5B6E"/>
    <w:rsid w:val="002E025B"/>
    <w:rsid w:val="002F2ED5"/>
    <w:rsid w:val="00300E65"/>
    <w:rsid w:val="003122FA"/>
    <w:rsid w:val="00314274"/>
    <w:rsid w:val="003708E8"/>
    <w:rsid w:val="00384522"/>
    <w:rsid w:val="00391A9C"/>
    <w:rsid w:val="003A02CF"/>
    <w:rsid w:val="003C7AAD"/>
    <w:rsid w:val="003D2CCE"/>
    <w:rsid w:val="003D6743"/>
    <w:rsid w:val="003E1672"/>
    <w:rsid w:val="003E7F9C"/>
    <w:rsid w:val="003F1A00"/>
    <w:rsid w:val="00420F72"/>
    <w:rsid w:val="004229F0"/>
    <w:rsid w:val="00433FE4"/>
    <w:rsid w:val="00443DCB"/>
    <w:rsid w:val="00464762"/>
    <w:rsid w:val="00466E5A"/>
    <w:rsid w:val="00480FD8"/>
    <w:rsid w:val="00481062"/>
    <w:rsid w:val="0048649F"/>
    <w:rsid w:val="004B493F"/>
    <w:rsid w:val="004C49D1"/>
    <w:rsid w:val="004C787D"/>
    <w:rsid w:val="004D17D8"/>
    <w:rsid w:val="004E06CF"/>
    <w:rsid w:val="004F46C8"/>
    <w:rsid w:val="00513EFE"/>
    <w:rsid w:val="00546FA7"/>
    <w:rsid w:val="0057347A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7522"/>
    <w:rsid w:val="00675E2E"/>
    <w:rsid w:val="006A3D83"/>
    <w:rsid w:val="006A63D3"/>
    <w:rsid w:val="006C55F5"/>
    <w:rsid w:val="006D2599"/>
    <w:rsid w:val="006D568E"/>
    <w:rsid w:val="006D7DAC"/>
    <w:rsid w:val="006E1A83"/>
    <w:rsid w:val="006E4F55"/>
    <w:rsid w:val="00712A35"/>
    <w:rsid w:val="0072008B"/>
    <w:rsid w:val="00727B67"/>
    <w:rsid w:val="00760E2A"/>
    <w:rsid w:val="00770524"/>
    <w:rsid w:val="0077653F"/>
    <w:rsid w:val="007859D8"/>
    <w:rsid w:val="007B69C8"/>
    <w:rsid w:val="007C645B"/>
    <w:rsid w:val="007D13F0"/>
    <w:rsid w:val="007E1971"/>
    <w:rsid w:val="007E766D"/>
    <w:rsid w:val="00803911"/>
    <w:rsid w:val="00807769"/>
    <w:rsid w:val="00822F8C"/>
    <w:rsid w:val="008317ED"/>
    <w:rsid w:val="0086344A"/>
    <w:rsid w:val="00872585"/>
    <w:rsid w:val="008A3ACF"/>
    <w:rsid w:val="008A4AF9"/>
    <w:rsid w:val="008A6496"/>
    <w:rsid w:val="008B68E0"/>
    <w:rsid w:val="008D57EF"/>
    <w:rsid w:val="0090326A"/>
    <w:rsid w:val="0090386B"/>
    <w:rsid w:val="00912B62"/>
    <w:rsid w:val="0094618E"/>
    <w:rsid w:val="00970F05"/>
    <w:rsid w:val="009A539D"/>
    <w:rsid w:val="009C76F8"/>
    <w:rsid w:val="009D01A0"/>
    <w:rsid w:val="009E0981"/>
    <w:rsid w:val="00A04AF7"/>
    <w:rsid w:val="00A20278"/>
    <w:rsid w:val="00A31045"/>
    <w:rsid w:val="00A3476C"/>
    <w:rsid w:val="00A40F7D"/>
    <w:rsid w:val="00A42119"/>
    <w:rsid w:val="00A4253A"/>
    <w:rsid w:val="00A449E2"/>
    <w:rsid w:val="00A46FCD"/>
    <w:rsid w:val="00A502B0"/>
    <w:rsid w:val="00A521D2"/>
    <w:rsid w:val="00A60700"/>
    <w:rsid w:val="00A67EF0"/>
    <w:rsid w:val="00A95182"/>
    <w:rsid w:val="00AA7512"/>
    <w:rsid w:val="00AB0A8A"/>
    <w:rsid w:val="00AB430C"/>
    <w:rsid w:val="00AD38F7"/>
    <w:rsid w:val="00AD5E7D"/>
    <w:rsid w:val="00AE1082"/>
    <w:rsid w:val="00AF764A"/>
    <w:rsid w:val="00B10253"/>
    <w:rsid w:val="00B1229F"/>
    <w:rsid w:val="00B329F7"/>
    <w:rsid w:val="00B35C69"/>
    <w:rsid w:val="00B442FD"/>
    <w:rsid w:val="00B56C73"/>
    <w:rsid w:val="00B804C0"/>
    <w:rsid w:val="00B83E5E"/>
    <w:rsid w:val="00BA072A"/>
    <w:rsid w:val="00BA711F"/>
    <w:rsid w:val="00BB00C8"/>
    <w:rsid w:val="00BC0EF3"/>
    <w:rsid w:val="00BD352C"/>
    <w:rsid w:val="00BF0866"/>
    <w:rsid w:val="00C042F4"/>
    <w:rsid w:val="00C3020E"/>
    <w:rsid w:val="00C45A72"/>
    <w:rsid w:val="00C505CB"/>
    <w:rsid w:val="00C72253"/>
    <w:rsid w:val="00C80634"/>
    <w:rsid w:val="00C862AC"/>
    <w:rsid w:val="00CD440E"/>
    <w:rsid w:val="00CE55D6"/>
    <w:rsid w:val="00CF3740"/>
    <w:rsid w:val="00D268A5"/>
    <w:rsid w:val="00D35470"/>
    <w:rsid w:val="00D37D29"/>
    <w:rsid w:val="00D52487"/>
    <w:rsid w:val="00D56C0C"/>
    <w:rsid w:val="00D634CE"/>
    <w:rsid w:val="00D745CF"/>
    <w:rsid w:val="00D77582"/>
    <w:rsid w:val="00D868B9"/>
    <w:rsid w:val="00D963B1"/>
    <w:rsid w:val="00DA118B"/>
    <w:rsid w:val="00DB696F"/>
    <w:rsid w:val="00DC2B7D"/>
    <w:rsid w:val="00DD0053"/>
    <w:rsid w:val="00DF530E"/>
    <w:rsid w:val="00DF6DA8"/>
    <w:rsid w:val="00E00DD4"/>
    <w:rsid w:val="00E175B0"/>
    <w:rsid w:val="00E36CE6"/>
    <w:rsid w:val="00E46049"/>
    <w:rsid w:val="00E61855"/>
    <w:rsid w:val="00E6764C"/>
    <w:rsid w:val="00E7243F"/>
    <w:rsid w:val="00E9773B"/>
    <w:rsid w:val="00EA33C7"/>
    <w:rsid w:val="00EB3FE1"/>
    <w:rsid w:val="00EC246E"/>
    <w:rsid w:val="00EC5770"/>
    <w:rsid w:val="00ED149A"/>
    <w:rsid w:val="00F05D9A"/>
    <w:rsid w:val="00F07B16"/>
    <w:rsid w:val="00F10238"/>
    <w:rsid w:val="00F2080D"/>
    <w:rsid w:val="00F31298"/>
    <w:rsid w:val="00F34917"/>
    <w:rsid w:val="00F41BFB"/>
    <w:rsid w:val="00F46388"/>
    <w:rsid w:val="00F47B65"/>
    <w:rsid w:val="00F55328"/>
    <w:rsid w:val="00F77CBD"/>
    <w:rsid w:val="00FA00BB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3/etf0620/tr/item4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etf0620/tr/item4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620/tr/item3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3/etf0620/tr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150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6</cp:revision>
  <cp:lastPrinted>2013-06-03T16:02:00Z</cp:lastPrinted>
  <dcterms:created xsi:type="dcterms:W3CDTF">2013-06-03T16:03:00Z</dcterms:created>
  <dcterms:modified xsi:type="dcterms:W3CDTF">2013-06-11T13:52:00Z</dcterms:modified>
</cp:coreProperties>
</file>