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152F25" w:rsidRDefault="0064084C" w:rsidP="00D66382">
      <w:pPr>
        <w:pStyle w:val="Title"/>
        <w:rPr>
          <w:color w:val="auto"/>
        </w:rPr>
      </w:pPr>
      <w:r w:rsidRPr="00152F25">
        <w:rPr>
          <w:color w:val="auto"/>
        </w:rPr>
        <w:t>AGENDA / NOTICE</w:t>
      </w:r>
    </w:p>
    <w:p w:rsidR="00723A8B" w:rsidRPr="00DF6DA8" w:rsidRDefault="00723A8B" w:rsidP="00723A8B">
      <w:pPr>
        <w:jc w:val="right"/>
        <w:rPr>
          <w:color w:val="FF0000"/>
          <w:sz w:val="28"/>
          <w:szCs w:val="28"/>
        </w:rPr>
      </w:pPr>
      <w:r w:rsidRPr="00DF6DA8">
        <w:rPr>
          <w:color w:val="FF0000"/>
          <w:sz w:val="28"/>
          <w:szCs w:val="28"/>
        </w:rPr>
        <w:tab/>
      </w:r>
    </w:p>
    <w:p w:rsidR="00723A8B" w:rsidRPr="00D52487" w:rsidRDefault="00723A8B" w:rsidP="00723A8B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Teachers Retirement Board</w:t>
      </w:r>
    </w:p>
    <w:p w:rsidR="00723A8B" w:rsidRDefault="00723A8B" w:rsidP="00723A8B">
      <w:r>
        <w:rPr>
          <w:noProof/>
        </w:rPr>
        <w:drawing>
          <wp:anchor distT="0" distB="0" distL="114300" distR="114300" simplePos="0" relativeHeight="251656704" behindDoc="0" locked="0" layoutInCell="0" allowOverlap="1" wp14:anchorId="6F919D31" wp14:editId="4048438E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State of Wisconsin</w:t>
      </w:r>
    </w:p>
    <w:p w:rsidR="00723A8B" w:rsidRDefault="00723A8B" w:rsidP="00723A8B">
      <w:r>
        <w:t xml:space="preserve">  </w:t>
      </w:r>
    </w:p>
    <w:p w:rsidR="00723A8B" w:rsidRDefault="00E91D0D" w:rsidP="00723A8B">
      <w:pPr>
        <w:rPr>
          <w:rFonts w:ascii="Arial Black" w:hAnsi="Arial Black"/>
        </w:rPr>
      </w:pPr>
      <w:r>
        <w:rPr>
          <w:rFonts w:ascii="Arial Black" w:hAnsi="Arial Black"/>
        </w:rPr>
        <w:t xml:space="preserve">Thursday, </w:t>
      </w:r>
      <w:r w:rsidR="00C53AB8">
        <w:rPr>
          <w:rFonts w:ascii="Arial Black" w:hAnsi="Arial Black"/>
        </w:rPr>
        <w:t>June 22, 2017</w:t>
      </w:r>
      <w:r w:rsidR="00723A8B">
        <w:rPr>
          <w:rFonts w:ascii="Arial Black" w:hAnsi="Arial Black"/>
        </w:rPr>
        <w:t xml:space="preserve"> </w:t>
      </w:r>
    </w:p>
    <w:p w:rsidR="009003A1" w:rsidRDefault="009003A1" w:rsidP="009003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Upon Conclusion of the </w:t>
      </w:r>
      <w:r w:rsidR="00436793">
        <w:rPr>
          <w:sz w:val="23"/>
          <w:szCs w:val="23"/>
        </w:rPr>
        <w:t>Joint Meeting of the</w:t>
      </w:r>
      <w:r w:rsidR="003121A7">
        <w:rPr>
          <w:sz w:val="23"/>
          <w:szCs w:val="23"/>
        </w:rPr>
        <w:t xml:space="preserve"> Board</w:t>
      </w:r>
      <w:r w:rsidR="00436793">
        <w:rPr>
          <w:sz w:val="23"/>
          <w:szCs w:val="23"/>
        </w:rPr>
        <w:t>s</w:t>
      </w:r>
      <w:r>
        <w:rPr>
          <w:sz w:val="23"/>
          <w:szCs w:val="23"/>
        </w:rPr>
        <w:t xml:space="preserve"> </w:t>
      </w:r>
    </w:p>
    <w:p w:rsidR="009003A1" w:rsidRDefault="009003A1" w:rsidP="009003A1">
      <w:pPr>
        <w:rPr>
          <w:sz w:val="23"/>
          <w:szCs w:val="23"/>
        </w:rPr>
      </w:pPr>
      <w:r w:rsidRPr="007A7962">
        <w:rPr>
          <w:sz w:val="23"/>
          <w:szCs w:val="23"/>
        </w:rPr>
        <w:t>(Approximately 1</w:t>
      </w:r>
      <w:r w:rsidR="008424DC">
        <w:rPr>
          <w:sz w:val="23"/>
          <w:szCs w:val="23"/>
        </w:rPr>
        <w:t>0</w:t>
      </w:r>
      <w:r w:rsidRPr="007A7962">
        <w:rPr>
          <w:sz w:val="23"/>
          <w:szCs w:val="23"/>
        </w:rPr>
        <w:t>:</w:t>
      </w:r>
      <w:r w:rsidR="008424DC">
        <w:rPr>
          <w:sz w:val="23"/>
          <w:szCs w:val="23"/>
        </w:rPr>
        <w:t>4</w:t>
      </w:r>
      <w:r w:rsidR="00436793" w:rsidRPr="007A7962">
        <w:rPr>
          <w:sz w:val="23"/>
          <w:szCs w:val="23"/>
        </w:rPr>
        <w:t>5</w:t>
      </w:r>
      <w:r w:rsidRPr="007A7962">
        <w:rPr>
          <w:sz w:val="23"/>
          <w:szCs w:val="23"/>
        </w:rPr>
        <w:t xml:space="preserve"> a.m.)</w:t>
      </w:r>
    </w:p>
    <w:p w:rsidR="00DA3E53" w:rsidRPr="00A3476C" w:rsidRDefault="00DA3E53" w:rsidP="00DA3E53"/>
    <w:p w:rsidR="00723A8B" w:rsidRPr="00770524" w:rsidRDefault="00723A8B" w:rsidP="00723A8B">
      <w:pPr>
        <w:rPr>
          <w:rFonts w:ascii="Arial Black" w:hAnsi="Arial Black"/>
        </w:rPr>
      </w:pPr>
      <w:r w:rsidRPr="00770524">
        <w:rPr>
          <w:rFonts w:ascii="Arial Black" w:hAnsi="Arial Black"/>
        </w:rPr>
        <w:t>State Revenue Building – Events Room</w:t>
      </w:r>
    </w:p>
    <w:p w:rsidR="00723A8B" w:rsidRDefault="00723A8B" w:rsidP="00723A8B">
      <w:r w:rsidRPr="00A3476C">
        <w:t>2135 Rimrock Road, Madison, WI  53718</w:t>
      </w:r>
    </w:p>
    <w:p w:rsidR="00D44595" w:rsidRDefault="00D44595" w:rsidP="00723A8B"/>
    <w:p w:rsidR="00CA6D66" w:rsidRPr="00A3476C" w:rsidRDefault="00CA6D66" w:rsidP="00723A8B"/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898"/>
        <w:gridCol w:w="5625"/>
        <w:gridCol w:w="2430"/>
      </w:tblGrid>
      <w:tr w:rsidR="000B4BA4" w:rsidRPr="00DF6DA8" w:rsidTr="00AE28B0">
        <w:trPr>
          <w:trHeight w:val="821"/>
          <w:tblHeader/>
        </w:trPr>
        <w:tc>
          <w:tcPr>
            <w:tcW w:w="1512" w:type="dxa"/>
            <w:tcBorders>
              <w:top w:val="nil"/>
              <w:bottom w:val="double" w:sz="4" w:space="0" w:color="5F5F5F"/>
            </w:tcBorders>
          </w:tcPr>
          <w:p w:rsidR="000B4BA4" w:rsidRPr="00CA22E3" w:rsidRDefault="00723A8B" w:rsidP="00926A8E">
            <w:pPr>
              <w:pStyle w:val="Heading2"/>
              <w:jc w:val="center"/>
              <w:rPr>
                <w:sz w:val="24"/>
              </w:rPr>
            </w:pPr>
            <w:r>
              <w:rPr>
                <w:i/>
                <w:snapToGrid w:val="0"/>
              </w:rPr>
              <w:tab/>
              <w:t xml:space="preserve"> </w:t>
            </w:r>
            <w:r w:rsidR="000B4BA4" w:rsidRPr="00CA22E3">
              <w:rPr>
                <w:sz w:val="24"/>
              </w:rPr>
              <w:t>Estimated Time</w:t>
            </w:r>
          </w:p>
        </w:tc>
        <w:tc>
          <w:tcPr>
            <w:tcW w:w="898" w:type="dxa"/>
            <w:tcBorders>
              <w:top w:val="nil"/>
              <w:bottom w:val="double" w:sz="4" w:space="0" w:color="5F5F5F"/>
            </w:tcBorders>
          </w:tcPr>
          <w:p w:rsidR="000B4BA4" w:rsidRPr="00DF6DA8" w:rsidRDefault="000B4BA4" w:rsidP="00926A8E"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1" name="Picture 1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5DA1">
              <w:rPr>
                <w:snapToGrid w:val="0"/>
              </w:rPr>
              <w:t>Action Item</w:t>
            </w:r>
          </w:p>
        </w:tc>
        <w:tc>
          <w:tcPr>
            <w:tcW w:w="5625" w:type="dxa"/>
            <w:tcBorders>
              <w:top w:val="nil"/>
              <w:bottom w:val="double" w:sz="4" w:space="0" w:color="5F5F5F"/>
            </w:tcBorders>
          </w:tcPr>
          <w:p w:rsidR="00926A8E" w:rsidRDefault="000B4BA4" w:rsidP="00926A8E">
            <w:pPr>
              <w:pStyle w:val="Heading2"/>
            </w:pPr>
            <w:r>
              <w:t xml:space="preserve">   </w:t>
            </w:r>
            <w:r w:rsidRPr="00CA22E3">
              <w:rPr>
                <w:sz w:val="28"/>
                <w:szCs w:val="28"/>
              </w:rPr>
              <w:t xml:space="preserve"> </w:t>
            </w:r>
          </w:p>
          <w:p w:rsidR="000B4BA4" w:rsidRPr="00926A8E" w:rsidRDefault="00CA22E3" w:rsidP="00D66382">
            <w:pPr>
              <w:pStyle w:val="Heading2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26A8E">
              <w:rPr>
                <w:sz w:val="32"/>
                <w:szCs w:val="32"/>
              </w:rPr>
              <w:t xml:space="preserve">  </w:t>
            </w:r>
            <w:r w:rsidR="000B4BA4" w:rsidRPr="00926A8E">
              <w:rPr>
                <w:sz w:val="32"/>
                <w:szCs w:val="32"/>
              </w:rPr>
              <w:t>Topic</w:t>
            </w:r>
          </w:p>
        </w:tc>
        <w:tc>
          <w:tcPr>
            <w:tcW w:w="2430" w:type="dxa"/>
            <w:tcBorders>
              <w:top w:val="nil"/>
              <w:bottom w:val="double" w:sz="4" w:space="0" w:color="5F5F5F"/>
            </w:tcBorders>
          </w:tcPr>
          <w:p w:rsidR="000B4BA4" w:rsidRPr="00DF6DA8" w:rsidRDefault="000B4BA4" w:rsidP="00D66382"/>
        </w:tc>
      </w:tr>
      <w:tr w:rsidR="005D7A5F" w:rsidRPr="00DF6DA8" w:rsidTr="00CA6D66">
        <w:trPr>
          <w:trHeight w:val="593"/>
        </w:trPr>
        <w:tc>
          <w:tcPr>
            <w:tcW w:w="1512" w:type="dxa"/>
            <w:tcBorders>
              <w:top w:val="double" w:sz="4" w:space="0" w:color="5F5F5F"/>
            </w:tcBorders>
          </w:tcPr>
          <w:p w:rsidR="005D7A5F" w:rsidRPr="00CA22E3" w:rsidRDefault="00EE71F1" w:rsidP="008424DC">
            <w:pPr>
              <w:pStyle w:val="Heading2"/>
              <w:rPr>
                <w:sz w:val="24"/>
              </w:rPr>
            </w:pPr>
            <w:r w:rsidRPr="00CA22E3">
              <w:rPr>
                <w:sz w:val="24"/>
              </w:rPr>
              <w:t>1</w:t>
            </w:r>
            <w:r w:rsidR="008424DC">
              <w:rPr>
                <w:sz w:val="24"/>
              </w:rPr>
              <w:t>0</w:t>
            </w:r>
            <w:r w:rsidRPr="00CA22E3">
              <w:rPr>
                <w:sz w:val="24"/>
              </w:rPr>
              <w:t>:</w:t>
            </w:r>
            <w:r w:rsidR="008424DC">
              <w:rPr>
                <w:sz w:val="24"/>
              </w:rPr>
              <w:t>4</w:t>
            </w:r>
            <w:r w:rsidR="00436793">
              <w:rPr>
                <w:sz w:val="24"/>
              </w:rPr>
              <w:t>5</w:t>
            </w:r>
            <w:r w:rsidR="00B30384" w:rsidRPr="00CA22E3">
              <w:rPr>
                <w:sz w:val="24"/>
              </w:rPr>
              <w:t xml:space="preserve"> </w:t>
            </w:r>
            <w:r w:rsidR="007A7962">
              <w:rPr>
                <w:sz w:val="24"/>
              </w:rPr>
              <w:t>a</w:t>
            </w:r>
            <w:r w:rsidR="00B30384" w:rsidRPr="00CA22E3">
              <w:rPr>
                <w:sz w:val="24"/>
              </w:rPr>
              <w:t>.m.</w:t>
            </w:r>
          </w:p>
        </w:tc>
        <w:tc>
          <w:tcPr>
            <w:tcW w:w="898" w:type="dxa"/>
            <w:tcBorders>
              <w:top w:val="double" w:sz="4" w:space="0" w:color="5F5F5F"/>
            </w:tcBorders>
          </w:tcPr>
          <w:p w:rsidR="005D7A5F" w:rsidRPr="00CA22E3" w:rsidRDefault="005D7A5F" w:rsidP="00D66382"/>
        </w:tc>
        <w:tc>
          <w:tcPr>
            <w:tcW w:w="5625" w:type="dxa"/>
            <w:tcBorders>
              <w:top w:val="double" w:sz="4" w:space="0" w:color="5F5F5F"/>
            </w:tcBorders>
          </w:tcPr>
          <w:p w:rsidR="006D568E" w:rsidRPr="00CA22E3" w:rsidRDefault="005D7A5F" w:rsidP="00AE28B0">
            <w:pPr>
              <w:pStyle w:val="Heading2"/>
            </w:pPr>
            <w:r w:rsidRPr="00CA22E3">
              <w:rPr>
                <w:sz w:val="24"/>
              </w:rPr>
              <w:t>Call to Order</w:t>
            </w:r>
            <w:r w:rsidR="00763BE7" w:rsidRPr="00CA22E3">
              <w:tab/>
            </w:r>
          </w:p>
        </w:tc>
        <w:tc>
          <w:tcPr>
            <w:tcW w:w="2430" w:type="dxa"/>
            <w:tcBorders>
              <w:top w:val="double" w:sz="4" w:space="0" w:color="5F5F5F"/>
            </w:tcBorders>
          </w:tcPr>
          <w:p w:rsidR="005D7A5F" w:rsidRPr="00DF6DA8" w:rsidRDefault="005D7A5F" w:rsidP="00D66382"/>
        </w:tc>
      </w:tr>
      <w:tr w:rsidR="00E336EB" w:rsidRPr="00DF6DA8" w:rsidTr="00D44595">
        <w:trPr>
          <w:trHeight w:val="479"/>
        </w:trPr>
        <w:tc>
          <w:tcPr>
            <w:tcW w:w="1512" w:type="dxa"/>
          </w:tcPr>
          <w:p w:rsidR="00E336EB" w:rsidRPr="00CA22E3" w:rsidRDefault="00815664" w:rsidP="002771A7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1</w:t>
            </w:r>
            <w:r w:rsidR="002771A7">
              <w:rPr>
                <w:sz w:val="24"/>
              </w:rPr>
              <w:t>0</w:t>
            </w:r>
            <w:r w:rsidR="00E336EB" w:rsidRPr="00CA22E3">
              <w:rPr>
                <w:sz w:val="24"/>
              </w:rPr>
              <w:t>:</w:t>
            </w:r>
            <w:r w:rsidR="002771A7">
              <w:rPr>
                <w:sz w:val="24"/>
              </w:rPr>
              <w:t>4</w:t>
            </w:r>
            <w:r w:rsidR="002E7B5E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="007A7962">
              <w:rPr>
                <w:sz w:val="24"/>
              </w:rPr>
              <w:t>a</w:t>
            </w:r>
            <w:r w:rsidR="00E336EB" w:rsidRPr="00CA22E3">
              <w:rPr>
                <w:sz w:val="24"/>
              </w:rPr>
              <w:t>.m.</w:t>
            </w:r>
          </w:p>
        </w:tc>
        <w:tc>
          <w:tcPr>
            <w:tcW w:w="898" w:type="dxa"/>
          </w:tcPr>
          <w:p w:rsidR="00E336EB" w:rsidRPr="00DF6DA8" w:rsidRDefault="00E336EB" w:rsidP="00D66382">
            <w:r w:rsidRPr="00DF6DA8">
              <w:rPr>
                <w:noProof/>
              </w:rPr>
              <w:drawing>
                <wp:inline distT="0" distB="0" distL="0" distR="0" wp14:anchorId="71746A6F" wp14:editId="1A240A91">
                  <wp:extent cx="205740" cy="114300"/>
                  <wp:effectExtent l="0" t="0" r="0" b="0"/>
                  <wp:docPr id="4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5" w:type="dxa"/>
            <w:gridSpan w:val="2"/>
          </w:tcPr>
          <w:p w:rsidR="00E336EB" w:rsidRDefault="00D46C8E" w:rsidP="00D44595">
            <w:pPr>
              <w:pStyle w:val="Heading2"/>
              <w:numPr>
                <w:ilvl w:val="0"/>
                <w:numId w:val="13"/>
              </w:numPr>
              <w:rPr>
                <w:sz w:val="24"/>
              </w:rPr>
            </w:pPr>
            <w:hyperlink r:id="rId10" w:history="1">
              <w:r w:rsidR="00E336EB" w:rsidRPr="00D46C8E">
                <w:rPr>
                  <w:rStyle w:val="Hyperlink"/>
                  <w:sz w:val="24"/>
                </w:rPr>
                <w:t xml:space="preserve">Consideration of </w:t>
              </w:r>
              <w:r w:rsidR="00C53AB8" w:rsidRPr="00D46C8E">
                <w:rPr>
                  <w:rStyle w:val="Hyperlink"/>
                  <w:sz w:val="24"/>
                </w:rPr>
                <w:t>September 29</w:t>
              </w:r>
              <w:r w:rsidR="00AF5ED1" w:rsidRPr="00D46C8E">
                <w:rPr>
                  <w:rStyle w:val="Hyperlink"/>
                  <w:sz w:val="24"/>
                </w:rPr>
                <w:t>, 201</w:t>
              </w:r>
              <w:r w:rsidR="002730DE" w:rsidRPr="00D46C8E">
                <w:rPr>
                  <w:rStyle w:val="Hyperlink"/>
                  <w:sz w:val="24"/>
                </w:rPr>
                <w:t>6</w:t>
              </w:r>
              <w:r w:rsidR="00E336EB" w:rsidRPr="00D46C8E">
                <w:rPr>
                  <w:rStyle w:val="Hyperlink"/>
                  <w:sz w:val="24"/>
                </w:rPr>
                <w:t xml:space="preserve"> </w:t>
              </w:r>
              <w:r w:rsidR="003121A7" w:rsidRPr="00D46C8E">
                <w:rPr>
                  <w:rStyle w:val="Hyperlink"/>
                  <w:sz w:val="24"/>
                </w:rPr>
                <w:t xml:space="preserve">Open Session </w:t>
              </w:r>
              <w:r w:rsidR="00E336EB" w:rsidRPr="00D46C8E">
                <w:rPr>
                  <w:rStyle w:val="Hyperlink"/>
                  <w:sz w:val="24"/>
                </w:rPr>
                <w:t>Meeting Minutes</w:t>
              </w:r>
            </w:hyperlink>
          </w:p>
          <w:p w:rsidR="00C53AB8" w:rsidRPr="00C53AB8" w:rsidRDefault="00C53AB8" w:rsidP="00C53AB8"/>
        </w:tc>
      </w:tr>
      <w:tr w:rsidR="005D7A5F" w:rsidRPr="00DF6DA8" w:rsidTr="00811FB1">
        <w:trPr>
          <w:trHeight w:val="497"/>
        </w:trPr>
        <w:tc>
          <w:tcPr>
            <w:tcW w:w="1512" w:type="dxa"/>
          </w:tcPr>
          <w:p w:rsidR="005D7A5F" w:rsidRPr="00CA22E3" w:rsidRDefault="00EE71F1" w:rsidP="002771A7">
            <w:pPr>
              <w:pStyle w:val="Heading2"/>
              <w:rPr>
                <w:sz w:val="24"/>
              </w:rPr>
            </w:pPr>
            <w:r w:rsidRPr="00CA22E3">
              <w:rPr>
                <w:sz w:val="24"/>
              </w:rPr>
              <w:t>1</w:t>
            </w:r>
            <w:r w:rsidR="002771A7">
              <w:rPr>
                <w:sz w:val="24"/>
              </w:rPr>
              <w:t>0</w:t>
            </w:r>
            <w:r w:rsidRPr="00CA22E3">
              <w:rPr>
                <w:sz w:val="24"/>
              </w:rPr>
              <w:t>:</w:t>
            </w:r>
            <w:r w:rsidR="002771A7">
              <w:rPr>
                <w:sz w:val="24"/>
              </w:rPr>
              <w:t>50</w:t>
            </w:r>
            <w:r w:rsidR="00B30384" w:rsidRPr="00CA22E3">
              <w:rPr>
                <w:sz w:val="24"/>
              </w:rPr>
              <w:t xml:space="preserve"> </w:t>
            </w:r>
            <w:r w:rsidR="007A7962">
              <w:rPr>
                <w:sz w:val="24"/>
              </w:rPr>
              <w:t>a</w:t>
            </w:r>
            <w:r w:rsidR="00B30384" w:rsidRPr="00CA22E3">
              <w:rPr>
                <w:sz w:val="24"/>
              </w:rPr>
              <w:t>.m.</w:t>
            </w:r>
          </w:p>
        </w:tc>
        <w:tc>
          <w:tcPr>
            <w:tcW w:w="898" w:type="dxa"/>
          </w:tcPr>
          <w:p w:rsidR="005D7A5F" w:rsidRPr="00DF6DA8" w:rsidRDefault="005D7A5F" w:rsidP="00D66382"/>
        </w:tc>
        <w:tc>
          <w:tcPr>
            <w:tcW w:w="5625" w:type="dxa"/>
          </w:tcPr>
          <w:p w:rsidR="003814A4" w:rsidRPr="00CA22E3" w:rsidRDefault="005D7A5F" w:rsidP="00811FB1">
            <w:pPr>
              <w:pStyle w:val="Heading2"/>
              <w:numPr>
                <w:ilvl w:val="0"/>
                <w:numId w:val="13"/>
              </w:numPr>
            </w:pPr>
            <w:r w:rsidRPr="00CA22E3">
              <w:rPr>
                <w:sz w:val="24"/>
              </w:rPr>
              <w:t>Announcements</w:t>
            </w:r>
          </w:p>
        </w:tc>
        <w:tc>
          <w:tcPr>
            <w:tcW w:w="2430" w:type="dxa"/>
          </w:tcPr>
          <w:p w:rsidR="00F46388" w:rsidRDefault="001F5E52" w:rsidP="00D66382">
            <w:r w:rsidRPr="00AB430C">
              <w:t>M</w:t>
            </w:r>
            <w:r w:rsidR="008A6496">
              <w:t>att</w:t>
            </w:r>
            <w:r w:rsidRPr="00AB430C">
              <w:t xml:space="preserve"> Stohr</w:t>
            </w:r>
          </w:p>
          <w:p w:rsidR="00675E2E" w:rsidRPr="00AB430C" w:rsidRDefault="00675E2E" w:rsidP="00D66382"/>
        </w:tc>
      </w:tr>
      <w:tr w:rsidR="00951EFF" w:rsidRPr="00DF6DA8" w:rsidTr="00951EFF">
        <w:trPr>
          <w:trHeight w:val="533"/>
        </w:trPr>
        <w:tc>
          <w:tcPr>
            <w:tcW w:w="1512" w:type="dxa"/>
          </w:tcPr>
          <w:p w:rsidR="00951EFF" w:rsidRPr="00CA22E3" w:rsidRDefault="0098024D" w:rsidP="0098024D">
            <w:pPr>
              <w:pStyle w:val="Heading2"/>
              <w:rPr>
                <w:sz w:val="24"/>
              </w:rPr>
            </w:pPr>
            <w:r w:rsidRPr="00CA22E3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CA22E3">
              <w:rPr>
                <w:sz w:val="24"/>
              </w:rPr>
              <w:t>:</w:t>
            </w:r>
            <w:r>
              <w:rPr>
                <w:sz w:val="24"/>
              </w:rPr>
              <w:t>55</w:t>
            </w:r>
            <w:r w:rsidRPr="00CA22E3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CA22E3">
              <w:rPr>
                <w:sz w:val="24"/>
              </w:rPr>
              <w:t>.m.</w:t>
            </w:r>
          </w:p>
        </w:tc>
        <w:tc>
          <w:tcPr>
            <w:tcW w:w="898" w:type="dxa"/>
          </w:tcPr>
          <w:p w:rsidR="00951EFF" w:rsidRPr="00DF6DA8" w:rsidRDefault="00951EFF" w:rsidP="00D66382">
            <w:r w:rsidRPr="00DF6DA8">
              <w:rPr>
                <w:noProof/>
              </w:rPr>
              <w:drawing>
                <wp:inline distT="0" distB="0" distL="0" distR="0" wp14:anchorId="576D5F9B" wp14:editId="19F99653">
                  <wp:extent cx="205740" cy="114300"/>
                  <wp:effectExtent l="0" t="0" r="0" b="0"/>
                  <wp:docPr id="3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</w:tcPr>
          <w:p w:rsidR="00951EFF" w:rsidRPr="00CA22E3" w:rsidRDefault="00D46C8E" w:rsidP="00D66382">
            <w:pPr>
              <w:pStyle w:val="Heading2"/>
              <w:numPr>
                <w:ilvl w:val="0"/>
                <w:numId w:val="13"/>
              </w:numPr>
              <w:rPr>
                <w:sz w:val="24"/>
              </w:rPr>
            </w:pPr>
            <w:hyperlink r:id="rId11" w:history="1">
              <w:r w:rsidR="00951EFF" w:rsidRPr="00D46C8E">
                <w:rPr>
                  <w:rStyle w:val="Hyperlink"/>
                  <w:sz w:val="24"/>
                </w:rPr>
                <w:t>Election of Officers</w:t>
              </w:r>
            </w:hyperlink>
          </w:p>
        </w:tc>
        <w:tc>
          <w:tcPr>
            <w:tcW w:w="2430" w:type="dxa"/>
          </w:tcPr>
          <w:p w:rsidR="00951EFF" w:rsidRPr="00AB430C" w:rsidRDefault="00951EFF" w:rsidP="00D66382">
            <w:r>
              <w:t>Cheryllynn Wilkins</w:t>
            </w:r>
          </w:p>
        </w:tc>
      </w:tr>
      <w:tr w:rsidR="00CA0DE3" w:rsidRPr="00DF6DA8" w:rsidTr="00AE28B0">
        <w:trPr>
          <w:trHeight w:val="1208"/>
        </w:trPr>
        <w:tc>
          <w:tcPr>
            <w:tcW w:w="1512" w:type="dxa"/>
          </w:tcPr>
          <w:p w:rsidR="00CA0DE3" w:rsidRDefault="00EE71F1" w:rsidP="0016594F">
            <w:pPr>
              <w:pStyle w:val="Heading2"/>
              <w:rPr>
                <w:sz w:val="24"/>
              </w:rPr>
            </w:pPr>
            <w:r w:rsidRPr="00CA22E3">
              <w:rPr>
                <w:sz w:val="24"/>
              </w:rPr>
              <w:t>1</w:t>
            </w:r>
            <w:r w:rsidR="0098024D">
              <w:rPr>
                <w:sz w:val="24"/>
              </w:rPr>
              <w:t>1</w:t>
            </w:r>
            <w:r w:rsidRPr="00CA22E3">
              <w:rPr>
                <w:sz w:val="24"/>
              </w:rPr>
              <w:t>:</w:t>
            </w:r>
            <w:r w:rsidR="0098024D">
              <w:rPr>
                <w:sz w:val="24"/>
              </w:rPr>
              <w:t>00</w:t>
            </w:r>
            <w:r w:rsidR="00CA0DE3" w:rsidRPr="00CA22E3">
              <w:rPr>
                <w:sz w:val="24"/>
              </w:rPr>
              <w:t xml:space="preserve"> </w:t>
            </w:r>
            <w:r w:rsidR="007A7962">
              <w:rPr>
                <w:sz w:val="24"/>
              </w:rPr>
              <w:t>a</w:t>
            </w:r>
            <w:r w:rsidR="00CA0DE3" w:rsidRPr="00CA22E3">
              <w:rPr>
                <w:sz w:val="24"/>
              </w:rPr>
              <w:t>.m.</w:t>
            </w:r>
          </w:p>
          <w:p w:rsidR="00CA6D66" w:rsidRPr="002730DE" w:rsidRDefault="00CA6D66" w:rsidP="00B241E9"/>
        </w:tc>
        <w:tc>
          <w:tcPr>
            <w:tcW w:w="898" w:type="dxa"/>
          </w:tcPr>
          <w:p w:rsidR="00CA0DE3" w:rsidRPr="00CA22E3" w:rsidRDefault="00D66382" w:rsidP="00D66382">
            <w:pPr>
              <w:rPr>
                <w:noProof/>
              </w:rPr>
            </w:pPr>
            <w:r w:rsidRPr="00CA22E3">
              <w:rPr>
                <w:noProof/>
              </w:rPr>
              <w:drawing>
                <wp:inline distT="0" distB="0" distL="0" distR="0" wp14:anchorId="3682C833" wp14:editId="52472265">
                  <wp:extent cx="209550" cy="11430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</w:tcPr>
          <w:p w:rsidR="00D66382" w:rsidRPr="00CA22E3" w:rsidRDefault="00D66382" w:rsidP="002730DE">
            <w:pPr>
              <w:pStyle w:val="Heading2"/>
              <w:numPr>
                <w:ilvl w:val="0"/>
                <w:numId w:val="13"/>
              </w:numPr>
              <w:rPr>
                <w:sz w:val="24"/>
              </w:rPr>
            </w:pPr>
            <w:r w:rsidRPr="00CA22E3">
              <w:rPr>
                <w:sz w:val="24"/>
              </w:rPr>
              <w:t>Discussion/Consideration</w:t>
            </w:r>
          </w:p>
          <w:p w:rsidR="00511C05" w:rsidRDefault="00D46C8E" w:rsidP="00511C05">
            <w:pPr>
              <w:pStyle w:val="ListParagraph"/>
              <w:numPr>
                <w:ilvl w:val="0"/>
                <w:numId w:val="37"/>
              </w:numPr>
              <w:tabs>
                <w:tab w:val="left" w:pos="342"/>
              </w:tabs>
              <w:autoSpaceDE w:val="0"/>
              <w:autoSpaceDN w:val="0"/>
              <w:adjustRightInd w:val="0"/>
            </w:pPr>
            <w:hyperlink r:id="rId12" w:history="1">
              <w:r w:rsidR="00511C05" w:rsidRPr="00D46C8E">
                <w:rPr>
                  <w:rStyle w:val="Hyperlink"/>
                </w:rPr>
                <w:t>Clearinghouse Rule # CR 17-031: ETF 50 – Disability Programs Redesign</w:t>
              </w:r>
            </w:hyperlink>
          </w:p>
          <w:p w:rsidR="00511C05" w:rsidRDefault="00511C05" w:rsidP="00511C05">
            <w:pPr>
              <w:pStyle w:val="ListParagraph"/>
            </w:pPr>
          </w:p>
          <w:p w:rsidR="0044416D" w:rsidRDefault="00D46C8E" w:rsidP="00ED4FD6">
            <w:pPr>
              <w:pStyle w:val="ListParagraph"/>
              <w:numPr>
                <w:ilvl w:val="0"/>
                <w:numId w:val="37"/>
              </w:numPr>
            </w:pPr>
            <w:hyperlink r:id="rId13" w:history="1">
              <w:r w:rsidR="002952E8" w:rsidRPr="00D46C8E">
                <w:rPr>
                  <w:rStyle w:val="Hyperlink"/>
                </w:rPr>
                <w:t>TR Board Election Process</w:t>
              </w:r>
            </w:hyperlink>
            <w:bookmarkStart w:id="0" w:name="_GoBack"/>
            <w:bookmarkEnd w:id="0"/>
          </w:p>
          <w:p w:rsidR="0044416D" w:rsidRPr="00CA22E3" w:rsidRDefault="0044416D" w:rsidP="0082116B">
            <w:pPr>
              <w:pStyle w:val="ListParagraph"/>
            </w:pPr>
          </w:p>
        </w:tc>
        <w:tc>
          <w:tcPr>
            <w:tcW w:w="2430" w:type="dxa"/>
          </w:tcPr>
          <w:p w:rsidR="00CA0DE3" w:rsidRDefault="00CA0DE3" w:rsidP="00D66382">
            <w:pPr>
              <w:pStyle w:val="ListParagraph"/>
              <w:ind w:left="36"/>
            </w:pPr>
          </w:p>
          <w:p w:rsidR="002730DE" w:rsidRDefault="002730DE" w:rsidP="002730DE">
            <w:r>
              <w:t>Dan Hayes</w:t>
            </w:r>
          </w:p>
          <w:p w:rsidR="00D66382" w:rsidRDefault="00D66382" w:rsidP="00AF5ED1">
            <w:pPr>
              <w:pStyle w:val="ListParagraph"/>
              <w:ind w:left="36"/>
            </w:pPr>
          </w:p>
          <w:p w:rsidR="0045257D" w:rsidRDefault="0045257D" w:rsidP="00AF5ED1">
            <w:pPr>
              <w:pStyle w:val="ListParagraph"/>
              <w:ind w:left="36"/>
            </w:pPr>
          </w:p>
          <w:p w:rsidR="002952E8" w:rsidRDefault="002952E8" w:rsidP="00AF5ED1">
            <w:pPr>
              <w:pStyle w:val="ListParagraph"/>
              <w:ind w:left="36"/>
              <w:rPr>
                <w:sz w:val="20"/>
                <w:szCs w:val="20"/>
              </w:rPr>
            </w:pPr>
            <w:r>
              <w:t>Pam Henning</w:t>
            </w:r>
          </w:p>
          <w:p w:rsidR="0044416D" w:rsidRDefault="0044416D" w:rsidP="00AF5ED1">
            <w:pPr>
              <w:pStyle w:val="ListParagraph"/>
              <w:ind w:left="36"/>
            </w:pPr>
          </w:p>
        </w:tc>
      </w:tr>
      <w:tr w:rsidR="00F307B1" w:rsidTr="00CA6D66">
        <w:trPr>
          <w:trHeight w:val="578"/>
        </w:trPr>
        <w:tc>
          <w:tcPr>
            <w:tcW w:w="1512" w:type="dxa"/>
          </w:tcPr>
          <w:p w:rsidR="00F307B1" w:rsidRPr="00CA22E3" w:rsidRDefault="00B30384" w:rsidP="0098024D">
            <w:pPr>
              <w:pStyle w:val="Heading2"/>
              <w:rPr>
                <w:sz w:val="24"/>
              </w:rPr>
            </w:pPr>
            <w:r w:rsidRPr="00CA22E3">
              <w:rPr>
                <w:sz w:val="24"/>
              </w:rPr>
              <w:t>1</w:t>
            </w:r>
            <w:r w:rsidR="007A7962">
              <w:rPr>
                <w:sz w:val="24"/>
              </w:rPr>
              <w:t>1</w:t>
            </w:r>
            <w:r w:rsidRPr="00CA22E3">
              <w:rPr>
                <w:sz w:val="24"/>
              </w:rPr>
              <w:t>:</w:t>
            </w:r>
            <w:r w:rsidR="0098024D">
              <w:rPr>
                <w:sz w:val="24"/>
              </w:rPr>
              <w:t>1</w:t>
            </w:r>
            <w:r w:rsidR="00B241E9">
              <w:rPr>
                <w:sz w:val="24"/>
              </w:rPr>
              <w:t>0</w:t>
            </w:r>
            <w:r w:rsidRPr="00CA22E3">
              <w:rPr>
                <w:sz w:val="24"/>
              </w:rPr>
              <w:t xml:space="preserve"> </w:t>
            </w:r>
            <w:r w:rsidR="007A7962">
              <w:rPr>
                <w:sz w:val="24"/>
              </w:rPr>
              <w:t>a</w:t>
            </w:r>
            <w:r w:rsidRPr="00CA22E3">
              <w:rPr>
                <w:sz w:val="24"/>
              </w:rPr>
              <w:t>.m.</w:t>
            </w:r>
          </w:p>
        </w:tc>
        <w:tc>
          <w:tcPr>
            <w:tcW w:w="898" w:type="dxa"/>
          </w:tcPr>
          <w:p w:rsidR="00F307B1" w:rsidRPr="00CA22E3" w:rsidRDefault="00F307B1" w:rsidP="00D66382">
            <w:pPr>
              <w:rPr>
                <w:noProof/>
              </w:rPr>
            </w:pPr>
          </w:p>
        </w:tc>
        <w:tc>
          <w:tcPr>
            <w:tcW w:w="5625" w:type="dxa"/>
          </w:tcPr>
          <w:p w:rsidR="00F307B1" w:rsidRPr="00CA22E3" w:rsidRDefault="00F307B1" w:rsidP="00D66382">
            <w:pPr>
              <w:pStyle w:val="Heading2"/>
              <w:numPr>
                <w:ilvl w:val="0"/>
                <w:numId w:val="13"/>
              </w:numPr>
              <w:rPr>
                <w:sz w:val="24"/>
              </w:rPr>
            </w:pPr>
            <w:r w:rsidRPr="00CA22E3">
              <w:rPr>
                <w:sz w:val="24"/>
              </w:rPr>
              <w:t>Future Items for Discussion</w:t>
            </w:r>
          </w:p>
        </w:tc>
        <w:tc>
          <w:tcPr>
            <w:tcW w:w="2430" w:type="dxa"/>
          </w:tcPr>
          <w:p w:rsidR="00F307B1" w:rsidRDefault="00F307B1" w:rsidP="00D66382"/>
        </w:tc>
      </w:tr>
      <w:tr w:rsidR="00C80634" w:rsidTr="00AE28B0">
        <w:trPr>
          <w:trHeight w:val="407"/>
        </w:trPr>
        <w:tc>
          <w:tcPr>
            <w:tcW w:w="1512" w:type="dxa"/>
          </w:tcPr>
          <w:p w:rsidR="00C80634" w:rsidRPr="00CA22E3" w:rsidRDefault="00B30384" w:rsidP="0098024D">
            <w:pPr>
              <w:pStyle w:val="Heading2"/>
              <w:rPr>
                <w:sz w:val="24"/>
              </w:rPr>
            </w:pPr>
            <w:r w:rsidRPr="00CA22E3">
              <w:rPr>
                <w:sz w:val="24"/>
              </w:rPr>
              <w:t>1</w:t>
            </w:r>
            <w:r w:rsidR="007A7962">
              <w:rPr>
                <w:sz w:val="24"/>
              </w:rPr>
              <w:t>1</w:t>
            </w:r>
            <w:r w:rsidRPr="00CA22E3">
              <w:rPr>
                <w:sz w:val="24"/>
              </w:rPr>
              <w:t>:</w:t>
            </w:r>
            <w:r w:rsidR="0098024D">
              <w:rPr>
                <w:sz w:val="24"/>
              </w:rPr>
              <w:t>1</w:t>
            </w:r>
            <w:r w:rsidR="007A7962">
              <w:rPr>
                <w:sz w:val="24"/>
              </w:rPr>
              <w:t>5</w:t>
            </w:r>
            <w:r w:rsidRPr="00CA22E3">
              <w:rPr>
                <w:sz w:val="24"/>
              </w:rPr>
              <w:t xml:space="preserve"> </w:t>
            </w:r>
            <w:r w:rsidR="007A7962">
              <w:rPr>
                <w:sz w:val="24"/>
              </w:rPr>
              <w:t>a</w:t>
            </w:r>
            <w:r w:rsidRPr="00CA22E3">
              <w:rPr>
                <w:sz w:val="24"/>
              </w:rPr>
              <w:t>.m.</w:t>
            </w:r>
          </w:p>
        </w:tc>
        <w:tc>
          <w:tcPr>
            <w:tcW w:w="898" w:type="dxa"/>
          </w:tcPr>
          <w:p w:rsidR="00C80634" w:rsidRPr="00CA22E3" w:rsidRDefault="00C80634" w:rsidP="00D66382">
            <w:r w:rsidRPr="00CA22E3">
              <w:rPr>
                <w:noProof/>
              </w:rPr>
              <w:drawing>
                <wp:inline distT="0" distB="0" distL="0" distR="0">
                  <wp:extent cx="205740" cy="114300"/>
                  <wp:effectExtent l="0" t="0" r="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</w:tcPr>
          <w:p w:rsidR="00C80634" w:rsidRPr="00CA22E3" w:rsidRDefault="00C80634" w:rsidP="00AE28B0">
            <w:pPr>
              <w:pStyle w:val="Heading2"/>
              <w:numPr>
                <w:ilvl w:val="0"/>
                <w:numId w:val="13"/>
              </w:numPr>
            </w:pPr>
            <w:r w:rsidRPr="00CA22E3">
              <w:rPr>
                <w:sz w:val="24"/>
              </w:rPr>
              <w:t>Adjournment</w:t>
            </w:r>
          </w:p>
        </w:tc>
        <w:tc>
          <w:tcPr>
            <w:tcW w:w="2430" w:type="dxa"/>
          </w:tcPr>
          <w:p w:rsidR="00C80634" w:rsidRDefault="00C80634" w:rsidP="00D66382"/>
        </w:tc>
      </w:tr>
    </w:tbl>
    <w:p w:rsidR="00CA6D66" w:rsidRDefault="00CA6D66" w:rsidP="00245915">
      <w:pPr>
        <w:pStyle w:val="Heading2"/>
        <w:ind w:right="-450" w:hanging="540"/>
        <w:jc w:val="center"/>
        <w:rPr>
          <w:b w:val="0"/>
          <w:i/>
          <w:szCs w:val="22"/>
        </w:rPr>
      </w:pPr>
    </w:p>
    <w:p w:rsidR="00CC6FCE" w:rsidRPr="003402FA" w:rsidRDefault="00CC6FCE" w:rsidP="00245915">
      <w:pPr>
        <w:pStyle w:val="Heading2"/>
        <w:ind w:right="-450" w:hanging="540"/>
        <w:jc w:val="center"/>
        <w:rPr>
          <w:b w:val="0"/>
          <w:i/>
          <w:szCs w:val="22"/>
        </w:rPr>
      </w:pPr>
      <w:r w:rsidRPr="003402FA">
        <w:rPr>
          <w:b w:val="0"/>
          <w:i/>
          <w:szCs w:val="22"/>
        </w:rPr>
        <w:t>Please note items may be taken in order other than listed.</w:t>
      </w:r>
      <w:r>
        <w:rPr>
          <w:b w:val="0"/>
          <w:i/>
          <w:szCs w:val="22"/>
        </w:rPr>
        <w:t xml:space="preserve"> Unless otherwise noted, the presenters are ETF staff.  </w:t>
      </w:r>
    </w:p>
    <w:p w:rsidR="0008554B" w:rsidRDefault="0008554B" w:rsidP="0008554B">
      <w:pPr>
        <w:pStyle w:val="Heading2"/>
        <w:jc w:val="center"/>
        <w:rPr>
          <w:b w:val="0"/>
          <w:i/>
          <w:szCs w:val="22"/>
        </w:rPr>
      </w:pPr>
      <w:r>
        <w:rPr>
          <w:b w:val="0"/>
          <w:i/>
          <w:szCs w:val="22"/>
        </w:rPr>
        <w:t xml:space="preserve">Lunch will be provided to Board members </w:t>
      </w:r>
      <w:r w:rsidR="002E7B5E">
        <w:rPr>
          <w:b w:val="0"/>
          <w:i/>
          <w:szCs w:val="22"/>
        </w:rPr>
        <w:t>a</w:t>
      </w:r>
      <w:r>
        <w:rPr>
          <w:b w:val="0"/>
          <w:i/>
          <w:szCs w:val="22"/>
        </w:rPr>
        <w:t xml:space="preserve">fter the separate Teachers Retirement </w:t>
      </w:r>
      <w:r w:rsidR="00A84822">
        <w:rPr>
          <w:b w:val="0"/>
          <w:i/>
          <w:szCs w:val="22"/>
        </w:rPr>
        <w:t>B</w:t>
      </w:r>
      <w:r>
        <w:rPr>
          <w:b w:val="0"/>
          <w:i/>
          <w:szCs w:val="22"/>
        </w:rPr>
        <w:t>oard Meeting.</w:t>
      </w:r>
    </w:p>
    <w:p w:rsidR="00CA6D66" w:rsidRPr="00CA6D66" w:rsidRDefault="00CA6D66" w:rsidP="00CA6D66"/>
    <w:p w:rsidR="00E67D54" w:rsidRPr="00893B5B" w:rsidRDefault="00E67D54" w:rsidP="00E67D54">
      <w:pPr>
        <w:tabs>
          <w:tab w:val="left" w:pos="1350"/>
        </w:tabs>
        <w:rPr>
          <w:sz w:val="22"/>
          <w:szCs w:val="22"/>
        </w:rPr>
      </w:pPr>
      <w:r w:rsidRPr="00290531">
        <w:rPr>
          <w:b/>
          <w:sz w:val="22"/>
          <w:szCs w:val="22"/>
        </w:rPr>
        <w:t xml:space="preserve">NOTE:  </w:t>
      </w:r>
      <w:r w:rsidRPr="00893B5B">
        <w:rPr>
          <w:sz w:val="22"/>
          <w:szCs w:val="22"/>
        </w:rPr>
        <w:t xml:space="preserve">Members of the </w:t>
      </w:r>
      <w:r>
        <w:rPr>
          <w:sz w:val="22"/>
          <w:szCs w:val="22"/>
        </w:rPr>
        <w:t>Employee Trust Funds Board</w:t>
      </w:r>
      <w:r w:rsidRPr="00893B5B">
        <w:rPr>
          <w:sz w:val="22"/>
          <w:szCs w:val="22"/>
        </w:rPr>
        <w:t xml:space="preserve"> (</w:t>
      </w:r>
      <w:r>
        <w:rPr>
          <w:sz w:val="22"/>
          <w:szCs w:val="22"/>
        </w:rPr>
        <w:t>ETF</w:t>
      </w:r>
      <w:r w:rsidRPr="00893B5B">
        <w:rPr>
          <w:sz w:val="22"/>
          <w:szCs w:val="22"/>
        </w:rPr>
        <w:t xml:space="preserve">) Board and/or </w:t>
      </w:r>
      <w:r>
        <w:rPr>
          <w:sz w:val="22"/>
          <w:szCs w:val="22"/>
        </w:rPr>
        <w:t>Wisconsin</w:t>
      </w:r>
      <w:r w:rsidRPr="00893B5B">
        <w:rPr>
          <w:sz w:val="22"/>
          <w:szCs w:val="22"/>
        </w:rPr>
        <w:t xml:space="preserve"> Retirement (</w:t>
      </w:r>
      <w:r>
        <w:rPr>
          <w:sz w:val="22"/>
          <w:szCs w:val="22"/>
        </w:rPr>
        <w:t>W</w:t>
      </w:r>
      <w:r w:rsidRPr="00893B5B">
        <w:rPr>
          <w:sz w:val="22"/>
          <w:szCs w:val="22"/>
        </w:rPr>
        <w:t xml:space="preserve">R) Board may be in attendance at the </w:t>
      </w:r>
      <w:r>
        <w:rPr>
          <w:sz w:val="22"/>
          <w:szCs w:val="22"/>
        </w:rPr>
        <w:t>TR</w:t>
      </w:r>
      <w:r w:rsidRPr="00893B5B">
        <w:rPr>
          <w:sz w:val="22"/>
          <w:szCs w:val="22"/>
        </w:rPr>
        <w:t xml:space="preserve"> Board meeting. The </w:t>
      </w:r>
      <w:r>
        <w:rPr>
          <w:sz w:val="22"/>
          <w:szCs w:val="22"/>
        </w:rPr>
        <w:t>ETF</w:t>
      </w:r>
      <w:r w:rsidRPr="00893B5B">
        <w:rPr>
          <w:sz w:val="22"/>
          <w:szCs w:val="22"/>
        </w:rPr>
        <w:t xml:space="preserve"> and </w:t>
      </w:r>
      <w:r>
        <w:rPr>
          <w:sz w:val="22"/>
          <w:szCs w:val="22"/>
        </w:rPr>
        <w:t>W</w:t>
      </w:r>
      <w:r w:rsidRPr="00893B5B">
        <w:rPr>
          <w:sz w:val="22"/>
          <w:szCs w:val="22"/>
        </w:rPr>
        <w:t xml:space="preserve">R Boards will not be conducting business during the </w:t>
      </w:r>
      <w:r>
        <w:rPr>
          <w:sz w:val="22"/>
          <w:szCs w:val="22"/>
        </w:rPr>
        <w:t>TR</w:t>
      </w:r>
      <w:r w:rsidRPr="00893B5B">
        <w:rPr>
          <w:sz w:val="22"/>
          <w:szCs w:val="22"/>
        </w:rPr>
        <w:t xml:space="preserve"> Board meeting. However, if a quorum of the </w:t>
      </w:r>
      <w:r>
        <w:rPr>
          <w:sz w:val="22"/>
          <w:szCs w:val="22"/>
        </w:rPr>
        <w:t>ETF</w:t>
      </w:r>
      <w:r w:rsidRPr="00893B5B">
        <w:rPr>
          <w:sz w:val="22"/>
          <w:szCs w:val="22"/>
        </w:rPr>
        <w:t xml:space="preserve"> Board or </w:t>
      </w:r>
      <w:r>
        <w:rPr>
          <w:sz w:val="22"/>
          <w:szCs w:val="22"/>
        </w:rPr>
        <w:t>W</w:t>
      </w:r>
      <w:r w:rsidRPr="00893B5B">
        <w:rPr>
          <w:sz w:val="22"/>
          <w:szCs w:val="22"/>
        </w:rPr>
        <w:t xml:space="preserve">R Board will be present at the </w:t>
      </w:r>
      <w:r>
        <w:rPr>
          <w:sz w:val="22"/>
          <w:szCs w:val="22"/>
        </w:rPr>
        <w:t>TR</w:t>
      </w:r>
      <w:r w:rsidRPr="00893B5B">
        <w:rPr>
          <w:sz w:val="22"/>
          <w:szCs w:val="22"/>
        </w:rPr>
        <w:t xml:space="preserve"> Board meeting for purposes of gathering information or otherwise engaging in governmental business, a joint meeting Agenda/Notice will be provided to the public to replace this Agenda/Notice.</w:t>
      </w:r>
    </w:p>
    <w:p w:rsidR="003E1672" w:rsidRPr="00D44595" w:rsidRDefault="003E1672" w:rsidP="00E67D54">
      <w:pPr>
        <w:rPr>
          <w:sz w:val="22"/>
          <w:szCs w:val="22"/>
        </w:rPr>
      </w:pPr>
    </w:p>
    <w:sectPr w:rsidR="003E1672" w:rsidRPr="00D44595" w:rsidSect="00B804C0">
      <w:footerReference w:type="default" r:id="rId14"/>
      <w:footerReference w:type="first" r:id="rId15"/>
      <w:pgSz w:w="12240" w:h="15840"/>
      <w:pgMar w:top="1080" w:right="1080" w:bottom="108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FA7" w:rsidRDefault="00546FA7" w:rsidP="00D66382">
      <w:r>
        <w:separator/>
      </w:r>
    </w:p>
  </w:endnote>
  <w:endnote w:type="continuationSeparator" w:id="0">
    <w:p w:rsidR="00546FA7" w:rsidRDefault="00546FA7" w:rsidP="00D6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A8B" w:rsidRDefault="00723A8B" w:rsidP="00723A8B">
    <w:pPr>
      <w:jc w:val="center"/>
      <w:rPr>
        <w:b/>
        <w:sz w:val="16"/>
        <w:szCs w:val="16"/>
      </w:rPr>
    </w:pPr>
    <w:r w:rsidRPr="00DF6DA8">
      <w:rPr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b/>
          <w:sz w:val="16"/>
          <w:szCs w:val="16"/>
        </w:rPr>
        <w:t>http://etf.wi.gov/gov_boards.htm</w:t>
      </w:r>
    </w:hyperlink>
    <w:r>
      <w:rPr>
        <w:b/>
        <w:sz w:val="16"/>
        <w:szCs w:val="16"/>
      </w:rPr>
      <w:t xml:space="preserve">  </w:t>
    </w:r>
  </w:p>
  <w:p w:rsidR="00723A8B" w:rsidRPr="00DF6DA8" w:rsidRDefault="00723A8B" w:rsidP="00723A8B">
    <w:pPr>
      <w:jc w:val="center"/>
      <w:rPr>
        <w:b/>
        <w:sz w:val="16"/>
        <w:szCs w:val="16"/>
      </w:rPr>
    </w:pPr>
    <w:r w:rsidRPr="004607D6">
      <w:rPr>
        <w:b/>
        <w:sz w:val="16"/>
        <w:szCs w:val="16"/>
      </w:rPr>
      <w:t>A copy of the agenda is posted at the State Capitol, the State of Wisconsin Investment Board, and ETF.</w:t>
    </w:r>
  </w:p>
  <w:p w:rsidR="00723A8B" w:rsidRPr="00DF6DA8" w:rsidRDefault="00723A8B" w:rsidP="00723A8B">
    <w:pPr>
      <w:jc w:val="center"/>
      <w:rPr>
        <w:sz w:val="16"/>
        <w:szCs w:val="16"/>
      </w:rPr>
    </w:pPr>
    <w:r w:rsidRPr="00DF6DA8">
      <w:rPr>
        <w:sz w:val="16"/>
        <w:szCs w:val="16"/>
      </w:rPr>
      <w:t>The meeting location is handicap access</w:t>
    </w:r>
    <w:r>
      <w:rPr>
        <w:sz w:val="16"/>
        <w:szCs w:val="16"/>
      </w:rPr>
      <w:t>ible.  If you need reasonable</w:t>
    </w:r>
    <w:r w:rsidRPr="00DF6DA8">
      <w:rPr>
        <w:sz w:val="16"/>
        <w:szCs w:val="16"/>
      </w:rPr>
      <w:t xml:space="preserve"> accommodations due to a disability, please </w:t>
    </w:r>
  </w:p>
  <w:p w:rsidR="00723A8B" w:rsidRPr="00DF6DA8" w:rsidRDefault="00723A8B" w:rsidP="00723A8B">
    <w:pPr>
      <w:jc w:val="center"/>
      <w:rPr>
        <w:sz w:val="16"/>
        <w:szCs w:val="16"/>
      </w:rPr>
    </w:pPr>
    <w:proofErr w:type="gramStart"/>
    <w:r w:rsidRPr="00DF6DA8">
      <w:rPr>
        <w:sz w:val="16"/>
        <w:szCs w:val="16"/>
      </w:rPr>
      <w:t>contact</w:t>
    </w:r>
    <w:proofErr w:type="gramEnd"/>
    <w:r w:rsidRPr="00DF6DA8">
      <w:rPr>
        <w:sz w:val="16"/>
        <w:szCs w:val="16"/>
      </w:rPr>
      <w:t xml:space="preserve"> the Department of Employee Trust Funds, P.O. Box 7931, Madison, WI 53707-7931.  </w:t>
    </w:r>
  </w:p>
  <w:p w:rsidR="00723A8B" w:rsidRPr="007E20D7" w:rsidRDefault="00723A8B" w:rsidP="00723A8B">
    <w:pPr>
      <w:jc w:val="center"/>
    </w:pPr>
    <w:r w:rsidRPr="00DF6DA8">
      <w:rPr>
        <w:sz w:val="16"/>
        <w:szCs w:val="16"/>
      </w:rPr>
      <w:t>Telephone number: (608) 266-0301.  Wisconsin Relay Service 7-1-1.</w:t>
    </w:r>
  </w:p>
  <w:p w:rsidR="00546FA7" w:rsidRPr="007E20D7" w:rsidRDefault="00546FA7" w:rsidP="00D66382">
    <w:pPr>
      <w:pStyle w:val="Footer"/>
    </w:pPr>
  </w:p>
  <w:p w:rsidR="00546FA7" w:rsidRDefault="00546FA7" w:rsidP="00D66382">
    <w:pPr>
      <w:pStyle w:val="Footer"/>
    </w:pPr>
  </w:p>
  <w:p w:rsidR="00546FA7" w:rsidRDefault="00546FA7" w:rsidP="00D663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A8B" w:rsidRDefault="00723A8B" w:rsidP="00723A8B">
    <w:pPr>
      <w:pStyle w:val="Header"/>
      <w:tabs>
        <w:tab w:val="clear" w:pos="4680"/>
        <w:tab w:val="clear" w:pos="9360"/>
        <w:tab w:val="left" w:pos="3733"/>
      </w:tabs>
    </w:pPr>
    <w:r>
      <w:tab/>
    </w:r>
  </w:p>
  <w:p w:rsidR="00723A8B" w:rsidRDefault="00723A8B" w:rsidP="00723A8B">
    <w:pPr>
      <w:jc w:val="center"/>
      <w:rPr>
        <w:b/>
        <w:sz w:val="16"/>
        <w:szCs w:val="16"/>
      </w:rPr>
    </w:pPr>
    <w:r w:rsidRPr="00DF6DA8">
      <w:rPr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b/>
          <w:sz w:val="16"/>
          <w:szCs w:val="16"/>
        </w:rPr>
        <w:t>http://etf.wi.gov/gov_boards.htm</w:t>
      </w:r>
    </w:hyperlink>
    <w:r>
      <w:rPr>
        <w:b/>
        <w:sz w:val="16"/>
        <w:szCs w:val="16"/>
      </w:rPr>
      <w:t xml:space="preserve">  </w:t>
    </w:r>
  </w:p>
  <w:p w:rsidR="00723A8B" w:rsidRPr="00DF6DA8" w:rsidRDefault="00723A8B" w:rsidP="00723A8B">
    <w:pPr>
      <w:jc w:val="center"/>
      <w:rPr>
        <w:b/>
        <w:sz w:val="16"/>
        <w:szCs w:val="16"/>
      </w:rPr>
    </w:pPr>
    <w:r w:rsidRPr="004607D6">
      <w:rPr>
        <w:b/>
        <w:sz w:val="16"/>
        <w:szCs w:val="16"/>
      </w:rPr>
      <w:t>A copy of the agenda is posted at the State Capitol, the State of Wisconsin Investment Board, and ETF.</w:t>
    </w:r>
  </w:p>
  <w:p w:rsidR="00723A8B" w:rsidRPr="00DF6DA8" w:rsidRDefault="00723A8B" w:rsidP="00723A8B">
    <w:pPr>
      <w:jc w:val="center"/>
      <w:rPr>
        <w:sz w:val="16"/>
        <w:szCs w:val="16"/>
      </w:rPr>
    </w:pPr>
    <w:r w:rsidRPr="00DF6DA8">
      <w:rPr>
        <w:sz w:val="16"/>
        <w:szCs w:val="16"/>
      </w:rPr>
      <w:t>The meeting location is handicap access</w:t>
    </w:r>
    <w:r>
      <w:rPr>
        <w:sz w:val="16"/>
        <w:szCs w:val="16"/>
      </w:rPr>
      <w:t>ible.  If you need reasonable</w:t>
    </w:r>
    <w:r w:rsidRPr="00DF6DA8">
      <w:rPr>
        <w:sz w:val="16"/>
        <w:szCs w:val="16"/>
      </w:rPr>
      <w:t xml:space="preserve"> accommodations due to a disability, please </w:t>
    </w:r>
  </w:p>
  <w:p w:rsidR="00723A8B" w:rsidRPr="00DF6DA8" w:rsidRDefault="00723A8B" w:rsidP="00723A8B">
    <w:pPr>
      <w:jc w:val="center"/>
      <w:rPr>
        <w:sz w:val="16"/>
        <w:szCs w:val="16"/>
      </w:rPr>
    </w:pPr>
    <w:proofErr w:type="gramStart"/>
    <w:r w:rsidRPr="00DF6DA8">
      <w:rPr>
        <w:sz w:val="16"/>
        <w:szCs w:val="16"/>
      </w:rPr>
      <w:t>contact</w:t>
    </w:r>
    <w:proofErr w:type="gramEnd"/>
    <w:r w:rsidRPr="00DF6DA8">
      <w:rPr>
        <w:sz w:val="16"/>
        <w:szCs w:val="16"/>
      </w:rPr>
      <w:t xml:space="preserve"> the Department of Employee Trust Funds, P.O. Box 7931, Madison, WI 53707-7931.  </w:t>
    </w:r>
  </w:p>
  <w:p w:rsidR="00723A8B" w:rsidRPr="007E20D7" w:rsidRDefault="00723A8B" w:rsidP="00723A8B">
    <w:pPr>
      <w:jc w:val="center"/>
    </w:pPr>
    <w:r w:rsidRPr="00DF6DA8">
      <w:rPr>
        <w:sz w:val="16"/>
        <w:szCs w:val="16"/>
      </w:rPr>
      <w:t>Telephone number: (608) 266-0301.  Wisconsin Relay Service 7-1-1.</w:t>
    </w:r>
  </w:p>
  <w:p w:rsidR="00546FA7" w:rsidRPr="007E20D7" w:rsidRDefault="00546FA7" w:rsidP="00D66382">
    <w:pPr>
      <w:pStyle w:val="Footer"/>
    </w:pPr>
  </w:p>
  <w:p w:rsidR="00546FA7" w:rsidRDefault="00546FA7" w:rsidP="00D663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FA7" w:rsidRDefault="00546FA7" w:rsidP="00D66382">
      <w:r>
        <w:separator/>
      </w:r>
    </w:p>
  </w:footnote>
  <w:footnote w:type="continuationSeparator" w:id="0">
    <w:p w:rsidR="00546FA7" w:rsidRDefault="00546FA7" w:rsidP="00D66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25pt;height:13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DA564C"/>
    <w:multiLevelType w:val="hybridMultilevel"/>
    <w:tmpl w:val="D6C4C140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0BD11260"/>
    <w:multiLevelType w:val="hybridMultilevel"/>
    <w:tmpl w:val="C688D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B23EE"/>
    <w:multiLevelType w:val="hybridMultilevel"/>
    <w:tmpl w:val="574A0B8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0" w15:restartNumberingAfterBreak="0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4C7352"/>
    <w:multiLevelType w:val="hybridMultilevel"/>
    <w:tmpl w:val="2278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3798E"/>
    <w:multiLevelType w:val="hybridMultilevel"/>
    <w:tmpl w:val="A5DA1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A1056"/>
    <w:multiLevelType w:val="hybridMultilevel"/>
    <w:tmpl w:val="C84A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61387"/>
    <w:multiLevelType w:val="hybridMultilevel"/>
    <w:tmpl w:val="F8AC7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9" w15:restartNumberingAfterBreak="0">
    <w:nsid w:val="298218F6"/>
    <w:multiLevelType w:val="hybridMultilevel"/>
    <w:tmpl w:val="F088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715644"/>
    <w:multiLevelType w:val="hybridMultilevel"/>
    <w:tmpl w:val="C8889DEC"/>
    <w:lvl w:ilvl="0" w:tplc="A208A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DDD0BF9"/>
    <w:multiLevelType w:val="hybridMultilevel"/>
    <w:tmpl w:val="F15CE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5A3A69"/>
    <w:multiLevelType w:val="hybridMultilevel"/>
    <w:tmpl w:val="EA205C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24911"/>
    <w:multiLevelType w:val="hybridMultilevel"/>
    <w:tmpl w:val="9F3C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4B52"/>
    <w:multiLevelType w:val="hybridMultilevel"/>
    <w:tmpl w:val="BDB08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B646C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4F4A"/>
    <w:multiLevelType w:val="hybridMultilevel"/>
    <w:tmpl w:val="1B7809A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0" w15:restartNumberingAfterBreak="0">
    <w:nsid w:val="5E430D82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33D97"/>
    <w:multiLevelType w:val="hybridMultilevel"/>
    <w:tmpl w:val="31C49B1A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2" w15:restartNumberingAfterBreak="0">
    <w:nsid w:val="61984562"/>
    <w:multiLevelType w:val="hybridMultilevel"/>
    <w:tmpl w:val="5A584484"/>
    <w:lvl w:ilvl="0" w:tplc="045EC1E0">
      <w:start w:val="1"/>
      <w:numFmt w:val="upperLetter"/>
      <w:lvlText w:val="%1."/>
      <w:lvlJc w:val="left"/>
      <w:pPr>
        <w:ind w:left="756" w:hanging="360"/>
      </w:pPr>
      <w:rPr>
        <w:rFonts w:ascii="Tahoma" w:hAnsi="Tahom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3" w15:restartNumberingAfterBreak="0">
    <w:nsid w:val="642A5EE6"/>
    <w:multiLevelType w:val="hybridMultilevel"/>
    <w:tmpl w:val="73448A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75817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529E4"/>
    <w:multiLevelType w:val="hybridMultilevel"/>
    <w:tmpl w:val="8DD242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41C66"/>
    <w:multiLevelType w:val="hybridMultilevel"/>
    <w:tmpl w:val="EFD0BF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8"/>
  </w:num>
  <w:num w:numId="8">
    <w:abstractNumId w:val="25"/>
  </w:num>
  <w:num w:numId="9">
    <w:abstractNumId w:val="8"/>
  </w:num>
  <w:num w:numId="10">
    <w:abstractNumId w:val="7"/>
  </w:num>
  <w:num w:numId="11">
    <w:abstractNumId w:val="21"/>
  </w:num>
  <w:num w:numId="12">
    <w:abstractNumId w:val="37"/>
  </w:num>
  <w:num w:numId="13">
    <w:abstractNumId w:val="13"/>
  </w:num>
  <w:num w:numId="14">
    <w:abstractNumId w:val="15"/>
  </w:num>
  <w:num w:numId="15">
    <w:abstractNumId w:val="32"/>
  </w:num>
  <w:num w:numId="16">
    <w:abstractNumId w:val="20"/>
  </w:num>
  <w:num w:numId="17">
    <w:abstractNumId w:val="19"/>
  </w:num>
  <w:num w:numId="18">
    <w:abstractNumId w:val="29"/>
  </w:num>
  <w:num w:numId="19">
    <w:abstractNumId w:val="9"/>
  </w:num>
  <w:num w:numId="20">
    <w:abstractNumId w:val="31"/>
  </w:num>
  <w:num w:numId="21">
    <w:abstractNumId w:val="30"/>
  </w:num>
  <w:num w:numId="22">
    <w:abstractNumId w:val="12"/>
  </w:num>
  <w:num w:numId="23">
    <w:abstractNumId w:val="28"/>
  </w:num>
  <w:num w:numId="24">
    <w:abstractNumId w:val="16"/>
  </w:num>
  <w:num w:numId="25">
    <w:abstractNumId w:val="17"/>
  </w:num>
  <w:num w:numId="26">
    <w:abstractNumId w:val="26"/>
  </w:num>
  <w:num w:numId="27">
    <w:abstractNumId w:val="1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6"/>
  </w:num>
  <w:num w:numId="31">
    <w:abstractNumId w:val="33"/>
  </w:num>
  <w:num w:numId="32">
    <w:abstractNumId w:val="24"/>
  </w:num>
  <w:num w:numId="33">
    <w:abstractNumId w:val="23"/>
  </w:num>
  <w:num w:numId="34">
    <w:abstractNumId w:val="34"/>
  </w:num>
  <w:num w:numId="35">
    <w:abstractNumId w:val="27"/>
  </w:num>
  <w:num w:numId="36">
    <w:abstractNumId w:val="35"/>
  </w:num>
  <w:num w:numId="37">
    <w:abstractNumId w:val="36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2009C"/>
    <w:rsid w:val="0003108B"/>
    <w:rsid w:val="00055596"/>
    <w:rsid w:val="0008554B"/>
    <w:rsid w:val="000920D0"/>
    <w:rsid w:val="00096128"/>
    <w:rsid w:val="00096D11"/>
    <w:rsid w:val="000A448D"/>
    <w:rsid w:val="000B01CE"/>
    <w:rsid w:val="000B3436"/>
    <w:rsid w:val="000B4BA4"/>
    <w:rsid w:val="000C1058"/>
    <w:rsid w:val="000C2029"/>
    <w:rsid w:val="000D595E"/>
    <w:rsid w:val="000E5725"/>
    <w:rsid w:val="000E66D2"/>
    <w:rsid w:val="000F173B"/>
    <w:rsid w:val="001008E8"/>
    <w:rsid w:val="00103402"/>
    <w:rsid w:val="00121EBD"/>
    <w:rsid w:val="001366E6"/>
    <w:rsid w:val="00152F25"/>
    <w:rsid w:val="00153DA6"/>
    <w:rsid w:val="00155EC8"/>
    <w:rsid w:val="001576B0"/>
    <w:rsid w:val="00157B72"/>
    <w:rsid w:val="0016594F"/>
    <w:rsid w:val="00170697"/>
    <w:rsid w:val="00177960"/>
    <w:rsid w:val="00185CD0"/>
    <w:rsid w:val="00191E1B"/>
    <w:rsid w:val="001943B4"/>
    <w:rsid w:val="001A0D31"/>
    <w:rsid w:val="001A313B"/>
    <w:rsid w:val="001B0491"/>
    <w:rsid w:val="001B304F"/>
    <w:rsid w:val="001E267D"/>
    <w:rsid w:val="001E765B"/>
    <w:rsid w:val="001F5E52"/>
    <w:rsid w:val="00215FB1"/>
    <w:rsid w:val="002208B9"/>
    <w:rsid w:val="00226155"/>
    <w:rsid w:val="0023182A"/>
    <w:rsid w:val="00245915"/>
    <w:rsid w:val="00271F6F"/>
    <w:rsid w:val="002730DE"/>
    <w:rsid w:val="002771A7"/>
    <w:rsid w:val="002952E8"/>
    <w:rsid w:val="002A59B4"/>
    <w:rsid w:val="002C1B36"/>
    <w:rsid w:val="002C244F"/>
    <w:rsid w:val="002E7B5E"/>
    <w:rsid w:val="002F2ED5"/>
    <w:rsid w:val="00300E65"/>
    <w:rsid w:val="003073BB"/>
    <w:rsid w:val="003121A7"/>
    <w:rsid w:val="00314274"/>
    <w:rsid w:val="003708E8"/>
    <w:rsid w:val="003814A4"/>
    <w:rsid w:val="00383B42"/>
    <w:rsid w:val="00384522"/>
    <w:rsid w:val="00391A9C"/>
    <w:rsid w:val="003A02CF"/>
    <w:rsid w:val="003C7AAD"/>
    <w:rsid w:val="003D2CCE"/>
    <w:rsid w:val="003E1672"/>
    <w:rsid w:val="003E7F9C"/>
    <w:rsid w:val="003F1A00"/>
    <w:rsid w:val="00420F72"/>
    <w:rsid w:val="004229F0"/>
    <w:rsid w:val="00433FE4"/>
    <w:rsid w:val="00436793"/>
    <w:rsid w:val="00443DCB"/>
    <w:rsid w:val="0044416D"/>
    <w:rsid w:val="0044604F"/>
    <w:rsid w:val="0045257D"/>
    <w:rsid w:val="00452B0E"/>
    <w:rsid w:val="004636D1"/>
    <w:rsid w:val="00466E5A"/>
    <w:rsid w:val="00480FD8"/>
    <w:rsid w:val="00481062"/>
    <w:rsid w:val="004B493F"/>
    <w:rsid w:val="004C49D1"/>
    <w:rsid w:val="004D17D8"/>
    <w:rsid w:val="004E06CF"/>
    <w:rsid w:val="004E2350"/>
    <w:rsid w:val="004F193F"/>
    <w:rsid w:val="004F46C8"/>
    <w:rsid w:val="00501187"/>
    <w:rsid w:val="005047EB"/>
    <w:rsid w:val="005108EC"/>
    <w:rsid w:val="00511C05"/>
    <w:rsid w:val="00513EFE"/>
    <w:rsid w:val="00546FA7"/>
    <w:rsid w:val="005625ED"/>
    <w:rsid w:val="0057347A"/>
    <w:rsid w:val="00586CF5"/>
    <w:rsid w:val="005970EF"/>
    <w:rsid w:val="005A4CA9"/>
    <w:rsid w:val="005C369C"/>
    <w:rsid w:val="005D7A5F"/>
    <w:rsid w:val="005E2C91"/>
    <w:rsid w:val="005E3BBC"/>
    <w:rsid w:val="005F3D51"/>
    <w:rsid w:val="00604F64"/>
    <w:rsid w:val="00605DF4"/>
    <w:rsid w:val="00613B7F"/>
    <w:rsid w:val="0061777C"/>
    <w:rsid w:val="0064084C"/>
    <w:rsid w:val="00647522"/>
    <w:rsid w:val="00675E2E"/>
    <w:rsid w:val="00686843"/>
    <w:rsid w:val="006A3D83"/>
    <w:rsid w:val="006A63D3"/>
    <w:rsid w:val="006C55F5"/>
    <w:rsid w:val="006D2599"/>
    <w:rsid w:val="006D568E"/>
    <w:rsid w:val="006D7DAC"/>
    <w:rsid w:val="006E4F55"/>
    <w:rsid w:val="006F3CCD"/>
    <w:rsid w:val="00712A35"/>
    <w:rsid w:val="0072008B"/>
    <w:rsid w:val="00723A8B"/>
    <w:rsid w:val="007241C5"/>
    <w:rsid w:val="00760E2A"/>
    <w:rsid w:val="00763BE7"/>
    <w:rsid w:val="00770524"/>
    <w:rsid w:val="0077653F"/>
    <w:rsid w:val="00784214"/>
    <w:rsid w:val="007859D8"/>
    <w:rsid w:val="007A42D5"/>
    <w:rsid w:val="007A7962"/>
    <w:rsid w:val="007C645B"/>
    <w:rsid w:val="007D13F0"/>
    <w:rsid w:val="007D57F2"/>
    <w:rsid w:val="007E1971"/>
    <w:rsid w:val="007E766D"/>
    <w:rsid w:val="007F218D"/>
    <w:rsid w:val="007F7FBF"/>
    <w:rsid w:val="00803911"/>
    <w:rsid w:val="00811FB1"/>
    <w:rsid w:val="00815664"/>
    <w:rsid w:val="0082116B"/>
    <w:rsid w:val="00822F8C"/>
    <w:rsid w:val="008317ED"/>
    <w:rsid w:val="0083669E"/>
    <w:rsid w:val="008424DC"/>
    <w:rsid w:val="008473A1"/>
    <w:rsid w:val="0086117D"/>
    <w:rsid w:val="008A3ACF"/>
    <w:rsid w:val="008A4AF9"/>
    <w:rsid w:val="008A6496"/>
    <w:rsid w:val="008B68E0"/>
    <w:rsid w:val="008D57EF"/>
    <w:rsid w:val="009003A1"/>
    <w:rsid w:val="0090326A"/>
    <w:rsid w:val="00912B62"/>
    <w:rsid w:val="00926A8E"/>
    <w:rsid w:val="00945603"/>
    <w:rsid w:val="0094618E"/>
    <w:rsid w:val="00950412"/>
    <w:rsid w:val="00951EFF"/>
    <w:rsid w:val="00956CB3"/>
    <w:rsid w:val="00966299"/>
    <w:rsid w:val="00966C57"/>
    <w:rsid w:val="00970F05"/>
    <w:rsid w:val="0098024D"/>
    <w:rsid w:val="0099253F"/>
    <w:rsid w:val="009A539D"/>
    <w:rsid w:val="009C4536"/>
    <w:rsid w:val="009C76F8"/>
    <w:rsid w:val="009E0981"/>
    <w:rsid w:val="00A04AF7"/>
    <w:rsid w:val="00A20278"/>
    <w:rsid w:val="00A31045"/>
    <w:rsid w:val="00A3476C"/>
    <w:rsid w:val="00A4079A"/>
    <w:rsid w:val="00A4253A"/>
    <w:rsid w:val="00A449E2"/>
    <w:rsid w:val="00A46FCD"/>
    <w:rsid w:val="00A502B0"/>
    <w:rsid w:val="00A521D2"/>
    <w:rsid w:val="00A60700"/>
    <w:rsid w:val="00A64D1D"/>
    <w:rsid w:val="00A67EF0"/>
    <w:rsid w:val="00A84822"/>
    <w:rsid w:val="00A95182"/>
    <w:rsid w:val="00AA2E34"/>
    <w:rsid w:val="00AA7512"/>
    <w:rsid w:val="00AB0A8A"/>
    <w:rsid w:val="00AB430C"/>
    <w:rsid w:val="00AD38F7"/>
    <w:rsid w:val="00AD5E7D"/>
    <w:rsid w:val="00AE28B0"/>
    <w:rsid w:val="00AF5ED1"/>
    <w:rsid w:val="00AF764A"/>
    <w:rsid w:val="00B10253"/>
    <w:rsid w:val="00B1229F"/>
    <w:rsid w:val="00B241E9"/>
    <w:rsid w:val="00B30384"/>
    <w:rsid w:val="00B329F7"/>
    <w:rsid w:val="00B3316B"/>
    <w:rsid w:val="00B35C69"/>
    <w:rsid w:val="00B56C73"/>
    <w:rsid w:val="00B804C0"/>
    <w:rsid w:val="00B83E5E"/>
    <w:rsid w:val="00BA072A"/>
    <w:rsid w:val="00BA632E"/>
    <w:rsid w:val="00BA711F"/>
    <w:rsid w:val="00BB00C8"/>
    <w:rsid w:val="00BC0EF3"/>
    <w:rsid w:val="00BC78EF"/>
    <w:rsid w:val="00BD352C"/>
    <w:rsid w:val="00BD49E0"/>
    <w:rsid w:val="00BF0866"/>
    <w:rsid w:val="00C042F4"/>
    <w:rsid w:val="00C27384"/>
    <w:rsid w:val="00C3020E"/>
    <w:rsid w:val="00C505CB"/>
    <w:rsid w:val="00C53AB8"/>
    <w:rsid w:val="00C80634"/>
    <w:rsid w:val="00C862AC"/>
    <w:rsid w:val="00CA0DE3"/>
    <w:rsid w:val="00CA22E3"/>
    <w:rsid w:val="00CA6D66"/>
    <w:rsid w:val="00CC6FCE"/>
    <w:rsid w:val="00CD440E"/>
    <w:rsid w:val="00CE55D6"/>
    <w:rsid w:val="00CE6174"/>
    <w:rsid w:val="00CF3740"/>
    <w:rsid w:val="00D268A5"/>
    <w:rsid w:val="00D35470"/>
    <w:rsid w:val="00D37D29"/>
    <w:rsid w:val="00D42EE4"/>
    <w:rsid w:val="00D44595"/>
    <w:rsid w:val="00D46C8E"/>
    <w:rsid w:val="00D52487"/>
    <w:rsid w:val="00D56C0C"/>
    <w:rsid w:val="00D634CE"/>
    <w:rsid w:val="00D66382"/>
    <w:rsid w:val="00D745CF"/>
    <w:rsid w:val="00D77582"/>
    <w:rsid w:val="00D868B9"/>
    <w:rsid w:val="00D90E82"/>
    <w:rsid w:val="00D963B1"/>
    <w:rsid w:val="00DA118B"/>
    <w:rsid w:val="00DA1F29"/>
    <w:rsid w:val="00DA3E53"/>
    <w:rsid w:val="00DB696F"/>
    <w:rsid w:val="00DC1948"/>
    <w:rsid w:val="00DC2B7D"/>
    <w:rsid w:val="00DD0053"/>
    <w:rsid w:val="00DF530E"/>
    <w:rsid w:val="00DF6DA8"/>
    <w:rsid w:val="00E00DD4"/>
    <w:rsid w:val="00E00FA8"/>
    <w:rsid w:val="00E100EB"/>
    <w:rsid w:val="00E175B0"/>
    <w:rsid w:val="00E336EB"/>
    <w:rsid w:val="00E36CE6"/>
    <w:rsid w:val="00E37F67"/>
    <w:rsid w:val="00E61855"/>
    <w:rsid w:val="00E67D54"/>
    <w:rsid w:val="00E7243F"/>
    <w:rsid w:val="00E91D0D"/>
    <w:rsid w:val="00E92ABA"/>
    <w:rsid w:val="00EB3FE1"/>
    <w:rsid w:val="00EC246E"/>
    <w:rsid w:val="00EC5770"/>
    <w:rsid w:val="00ED149A"/>
    <w:rsid w:val="00EE48E2"/>
    <w:rsid w:val="00EE71F1"/>
    <w:rsid w:val="00F05D9A"/>
    <w:rsid w:val="00F07B16"/>
    <w:rsid w:val="00F10238"/>
    <w:rsid w:val="00F2080D"/>
    <w:rsid w:val="00F307B1"/>
    <w:rsid w:val="00F34917"/>
    <w:rsid w:val="00F41BFB"/>
    <w:rsid w:val="00F46388"/>
    <w:rsid w:val="00F47B65"/>
    <w:rsid w:val="00F55328"/>
    <w:rsid w:val="00FA00BB"/>
    <w:rsid w:val="00FA2D30"/>
    <w:rsid w:val="00FB4B62"/>
    <w:rsid w:val="00FB5E92"/>
    <w:rsid w:val="00FC40D8"/>
    <w:rsid w:val="00FC7C06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054171-15E0-47BD-97B7-789F0C97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38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E6185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0B4BA4"/>
    <w:rPr>
      <w:rFonts w:ascii="Tahoma" w:hAnsi="Tahoma"/>
      <w:b/>
      <w:sz w:val="22"/>
      <w:szCs w:val="24"/>
    </w:rPr>
  </w:style>
  <w:style w:type="paragraph" w:customStyle="1" w:styleId="Default">
    <w:name w:val="Default"/>
    <w:rsid w:val="00DA3E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7/etf0622/tr/item4b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7/etf0622/tr/item4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7/etf0622/tr/item3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etf.wi.gov/boards/agenda-items-2017/etf0622/tr/item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6FC53-6FA1-4CED-9BEF-CE551219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338</TotalTime>
  <Pages>2</Pages>
  <Words>223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Wilkins, Cheryllynn - ETF</cp:lastModifiedBy>
  <cp:revision>115</cp:revision>
  <cp:lastPrinted>2014-08-13T16:02:00Z</cp:lastPrinted>
  <dcterms:created xsi:type="dcterms:W3CDTF">2012-12-28T16:33:00Z</dcterms:created>
  <dcterms:modified xsi:type="dcterms:W3CDTF">2017-06-13T17:25:00Z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019A-ACB0-ECEB-D246</vt:lpwstr>
  </property>
</Properties>
</file>