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1160" w:type="dxa"/>
        <w:tblLayout w:type="fixed"/>
        <w:tblLook w:val="0000" w:firstRow="0" w:lastRow="0" w:firstColumn="0" w:lastColumn="0" w:noHBand="0" w:noVBand="0"/>
      </w:tblPr>
      <w:tblGrid>
        <w:gridCol w:w="2970"/>
        <w:gridCol w:w="5652"/>
        <w:gridCol w:w="2538"/>
      </w:tblGrid>
      <w:tr w:rsidR="0029017F" w:rsidRPr="000E00FF" w14:paraId="512336CB" w14:textId="77777777" w:rsidTr="0029017F">
        <w:trPr>
          <w:trHeight w:val="1793"/>
        </w:trPr>
        <w:tc>
          <w:tcPr>
            <w:tcW w:w="2970" w:type="dxa"/>
          </w:tcPr>
          <w:p w14:paraId="2E127ADB" w14:textId="77777777" w:rsidR="0029017F" w:rsidRPr="000E00FF" w:rsidRDefault="0029017F" w:rsidP="0029017F">
            <w:pPr>
              <w:rPr>
                <w:sz w:val="24"/>
                <w:szCs w:val="24"/>
              </w:rPr>
            </w:pPr>
            <w:r w:rsidRPr="000E00FF">
              <w:rPr>
                <w:noProof/>
                <w:sz w:val="24"/>
                <w:szCs w:val="24"/>
              </w:rPr>
              <w:drawing>
                <wp:inline distT="0" distB="0" distL="0" distR="0" wp14:anchorId="4BC953E2" wp14:editId="05A3EA09">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15FFDCF5" w14:textId="77777777" w:rsidR="0029017F" w:rsidRPr="000E00FF" w:rsidRDefault="0029017F" w:rsidP="0029017F">
            <w:pPr>
              <w:pStyle w:val="Title"/>
              <w:rPr>
                <w:rFonts w:ascii="Arial" w:hAnsi="Arial"/>
                <w:b/>
                <w:sz w:val="24"/>
                <w:szCs w:val="24"/>
              </w:rPr>
            </w:pPr>
          </w:p>
          <w:p w14:paraId="13CC5BBA" w14:textId="77777777" w:rsidR="0029017F" w:rsidRPr="000E00FF" w:rsidRDefault="0029017F" w:rsidP="0029017F">
            <w:pPr>
              <w:ind w:right="-108"/>
              <w:rPr>
                <w:i/>
                <w:sz w:val="24"/>
                <w:szCs w:val="24"/>
              </w:rPr>
            </w:pPr>
            <w:r>
              <w:rPr>
                <w:noProof/>
                <w:sz w:val="24"/>
                <w:szCs w:val="24"/>
              </w:rPr>
              <mc:AlternateContent>
                <mc:Choice Requires="wps">
                  <w:drawing>
                    <wp:inline distT="0" distB="0" distL="0" distR="0" wp14:anchorId="7C560214" wp14:editId="0A9ABCEB">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6F703" w14:textId="77777777" w:rsidR="009520F3" w:rsidRDefault="009520F3" w:rsidP="0029017F">
                                  <w:pPr>
                                    <w:pStyle w:val="Heading2"/>
                                    <w:jc w:val="center"/>
                                    <w:rPr>
                                      <w:rFonts w:ascii="Century Gothic" w:hAnsi="Century Gothic"/>
                                      <w:sz w:val="28"/>
                                    </w:rPr>
                                  </w:pPr>
                                  <w:r>
                                    <w:rPr>
                                      <w:rFonts w:ascii="Century Gothic" w:hAnsi="Century Gothic"/>
                                      <w:sz w:val="28"/>
                                    </w:rPr>
                                    <w:t>STATE OF WISCONSIN</w:t>
                                  </w:r>
                                </w:p>
                                <w:p w14:paraId="76FEF1D2" w14:textId="77777777" w:rsidR="009520F3" w:rsidRDefault="009520F3" w:rsidP="0029017F">
                                  <w:pPr>
                                    <w:jc w:val="center"/>
                                    <w:rPr>
                                      <w:rFonts w:ascii="Century Gothic" w:hAnsi="Century Gothic"/>
                                      <w:b/>
                                      <w:sz w:val="28"/>
                                    </w:rPr>
                                  </w:pPr>
                                  <w:r>
                                    <w:rPr>
                                      <w:rFonts w:ascii="Century Gothic" w:hAnsi="Century Gothic"/>
                                      <w:b/>
                                      <w:sz w:val="28"/>
                                    </w:rPr>
                                    <w:t>Department of Employee Trust Funds</w:t>
                                  </w:r>
                                </w:p>
                                <w:p w14:paraId="2D900D49" w14:textId="77777777" w:rsidR="009520F3" w:rsidRPr="004A7A4A" w:rsidRDefault="009520F3" w:rsidP="0029017F">
                                  <w:pPr>
                                    <w:jc w:val="center"/>
                                    <w:rPr>
                                      <w:rFonts w:ascii="Century Gothic" w:hAnsi="Century Gothic"/>
                                      <w:b/>
                                      <w:sz w:val="18"/>
                                      <w:szCs w:val="18"/>
                                    </w:rPr>
                                  </w:pPr>
                                  <w:r w:rsidRPr="004A7A4A">
                                    <w:rPr>
                                      <w:rFonts w:ascii="Century Gothic" w:hAnsi="Century Gothic"/>
                                      <w:b/>
                                      <w:sz w:val="18"/>
                                      <w:szCs w:val="18"/>
                                    </w:rPr>
                                    <w:t xml:space="preserve">Robert J. Conlin </w:t>
                                  </w:r>
                                </w:p>
                                <w:p w14:paraId="0A5A7713" w14:textId="77777777" w:rsidR="009520F3" w:rsidRDefault="009520F3" w:rsidP="0029017F">
                                  <w:pPr>
                                    <w:jc w:val="center"/>
                                    <w:rPr>
                                      <w:rFonts w:ascii="Century Gothic" w:hAnsi="Century Gothic"/>
                                      <w:sz w:val="16"/>
                                    </w:rPr>
                                  </w:pPr>
                                  <w:r>
                                    <w:rPr>
                                      <w:rFonts w:ascii="Century Gothic" w:hAnsi="Century Gothic"/>
                                      <w:sz w:val="16"/>
                                    </w:rPr>
                                    <w:t>SECRETARY</w:t>
                                  </w:r>
                                </w:p>
                                <w:p w14:paraId="4B96C74E" w14:textId="77777777" w:rsidR="009520F3" w:rsidRDefault="009520F3" w:rsidP="0029017F">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7C560214"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r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HqrTG1eB070BNz/ANrAcM3XmTtMvDil90xK14VfW6r7lhEF0WTiZnBwdcVwA&#10;WffvNYNryNbrCDQ0tgulg2IgQAeWHo/MhFAobE6ni2m+ABMF2yLPy/NIXUKqw2ljnX/LdYfCpMYW&#10;mI/oZHfnfIiGVAeXcJnTUrCVkDIu7GZ9Iy3aEVDJKn4xgRduUgVnpcOxEXHcgSDhjmAL4UbWn8os&#10;L9LrvJyszhfzSbEqZpNyni4maVZeQ/BFWdyuvocAs6JqBWNc3QnFDwrMir9jeN8Lo3aiBlFf43KW&#10;z0aK/phkGr/fJdkJDw0pRQd1PjqRKhD7RjFIm1SeCDnOk5/Dj1WGGhz+sSpRBoH5UQN+WA+AErSx&#10;1uwRBGE18AXUwisCk1bbbxj10JE1dl+3xHKM5DsFoiqzoggtHBfFbJ7Dwp5a1qcWoihA1dhjNE5v&#10;/Nj2W2PFpoWbRhkrfQVCbETUyHNUe/lC18Vk9i9EaOvTdfR6fseWPwAAAP//AwBQSwMEFAAGAAgA&#10;AAAhAHkpzSraAAAABQEAAA8AAABkcnMvZG93bnJldi54bWxMj8FOwzAQRO9I/IO1SFwQdQg0pSFO&#10;BUggri39gE28TSLidRS7Tfr3LFzgstJoRrNvis3senWiMXSeDdwtElDEtbcdNwb2n2+3j6BCRLbY&#10;eyYDZwqwKS8vCsytn3hLp11slJRwyNFAG+OQax3qlhyGhR+IxTv40WEUOTbajjhJuet1miSZdtix&#10;fGhxoNeW6q/d0Rk4fEw3y/VUvcf9avuQvWC3qvzZmOur+fkJVKQ5/oXhB1/QoRSmyh/ZBtUbkCHx&#10;94q3vE9lRiWhdJ2BLgv9n778BgAA//8DAFBLAQItABQABgAIAAAAIQC2gziS/gAAAOEBAAATAAAA&#10;AAAAAAAAAAAAAAAAAABbQ29udGVudF9UeXBlc10ueG1sUEsBAi0AFAAGAAgAAAAhADj9If/WAAAA&#10;lAEAAAsAAAAAAAAAAAAAAAAALwEAAF9yZWxzLy5yZWxzUEsBAi0AFAAGAAgAAAAhALvU2iuCAgAA&#10;DwUAAA4AAAAAAAAAAAAAAAAALgIAAGRycy9lMm9Eb2MueG1sUEsBAi0AFAAGAAgAAAAhAHkpzSra&#10;AAAABQEAAA8AAAAAAAAAAAAAAAAA3AQAAGRycy9kb3ducmV2LnhtbFBLBQYAAAAABAAEAPMAAADj&#10;BQAAAAA=&#10;" stroked="f">
                      <v:textbox>
                        <w:txbxContent>
                          <w:p w14:paraId="07C6F703" w14:textId="77777777" w:rsidR="009520F3" w:rsidRDefault="009520F3" w:rsidP="0029017F">
                            <w:pPr>
                              <w:pStyle w:val="Heading2"/>
                              <w:jc w:val="center"/>
                              <w:rPr>
                                <w:rFonts w:ascii="Century Gothic" w:hAnsi="Century Gothic"/>
                                <w:sz w:val="28"/>
                              </w:rPr>
                            </w:pPr>
                            <w:r>
                              <w:rPr>
                                <w:rFonts w:ascii="Century Gothic" w:hAnsi="Century Gothic"/>
                                <w:sz w:val="28"/>
                              </w:rPr>
                              <w:t>STATE OF WISCONSIN</w:t>
                            </w:r>
                          </w:p>
                          <w:p w14:paraId="76FEF1D2" w14:textId="77777777" w:rsidR="009520F3" w:rsidRDefault="009520F3" w:rsidP="0029017F">
                            <w:pPr>
                              <w:jc w:val="center"/>
                              <w:rPr>
                                <w:rFonts w:ascii="Century Gothic" w:hAnsi="Century Gothic"/>
                                <w:b/>
                                <w:sz w:val="28"/>
                              </w:rPr>
                            </w:pPr>
                            <w:r>
                              <w:rPr>
                                <w:rFonts w:ascii="Century Gothic" w:hAnsi="Century Gothic"/>
                                <w:b/>
                                <w:sz w:val="28"/>
                              </w:rPr>
                              <w:t>Department of Employee Trust Funds</w:t>
                            </w:r>
                          </w:p>
                          <w:p w14:paraId="2D900D49" w14:textId="77777777" w:rsidR="009520F3" w:rsidRPr="004A7A4A" w:rsidRDefault="009520F3" w:rsidP="0029017F">
                            <w:pPr>
                              <w:jc w:val="center"/>
                              <w:rPr>
                                <w:rFonts w:ascii="Century Gothic" w:hAnsi="Century Gothic"/>
                                <w:b/>
                                <w:sz w:val="18"/>
                                <w:szCs w:val="18"/>
                              </w:rPr>
                            </w:pPr>
                            <w:r w:rsidRPr="004A7A4A">
                              <w:rPr>
                                <w:rFonts w:ascii="Century Gothic" w:hAnsi="Century Gothic"/>
                                <w:b/>
                                <w:sz w:val="18"/>
                                <w:szCs w:val="18"/>
                              </w:rPr>
                              <w:t xml:space="preserve">Robert J. Conlin </w:t>
                            </w:r>
                          </w:p>
                          <w:p w14:paraId="0A5A7713" w14:textId="77777777" w:rsidR="009520F3" w:rsidRDefault="009520F3" w:rsidP="0029017F">
                            <w:pPr>
                              <w:jc w:val="center"/>
                              <w:rPr>
                                <w:rFonts w:ascii="Century Gothic" w:hAnsi="Century Gothic"/>
                                <w:sz w:val="16"/>
                              </w:rPr>
                            </w:pPr>
                            <w:r>
                              <w:rPr>
                                <w:rFonts w:ascii="Century Gothic" w:hAnsi="Century Gothic"/>
                                <w:sz w:val="16"/>
                              </w:rPr>
                              <w:t>SECRETARY</w:t>
                            </w:r>
                          </w:p>
                          <w:p w14:paraId="4B96C74E" w14:textId="77777777" w:rsidR="009520F3" w:rsidRDefault="009520F3" w:rsidP="0029017F">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21E7B54E" w14:textId="77777777" w:rsidR="0029017F" w:rsidRPr="000E00FF" w:rsidRDefault="0029017F" w:rsidP="0029017F">
            <w:pPr>
              <w:jc w:val="right"/>
              <w:rPr>
                <w:sz w:val="24"/>
                <w:szCs w:val="24"/>
              </w:rPr>
            </w:pPr>
            <w:r>
              <w:rPr>
                <w:noProof/>
                <w:sz w:val="24"/>
                <w:szCs w:val="24"/>
              </w:rPr>
              <mc:AlternateContent>
                <mc:Choice Requires="wps">
                  <w:drawing>
                    <wp:inline distT="0" distB="0" distL="0" distR="0" wp14:anchorId="6D4E3C64" wp14:editId="6D6FAAEE">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24B25" w14:textId="77777777" w:rsidR="009520F3" w:rsidRPr="006370F7" w:rsidRDefault="009520F3" w:rsidP="0029017F">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7989984A" w14:textId="77777777" w:rsidR="009520F3" w:rsidRPr="006370F7" w:rsidRDefault="009520F3" w:rsidP="0029017F">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2EA44486" w14:textId="77777777" w:rsidR="009520F3" w:rsidRPr="006370F7" w:rsidRDefault="009520F3" w:rsidP="0029017F">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6EE5830C" w14:textId="77777777" w:rsidR="009520F3" w:rsidRDefault="009520F3" w:rsidP="0029017F">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75E1504D" w14:textId="77777777" w:rsidR="009520F3" w:rsidRPr="006370F7" w:rsidRDefault="009520F3" w:rsidP="0029017F">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6D4E3C64"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iThg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r5bZIoUQhViWlst8FbVLSHU6bqzzb7juUFjU2IL0&#10;EZ4c7p0PdEh1Son0tRRsI6SMG7vb3kqLDgRssom/WAFUOU2TKiQrHY6NiOMbYAl3hFjgG2X/VmZ5&#10;kd7k5WyzWC1nxaaYz8plupqlWXlTLtKiLO423wPBrKhawRhX90LxkwWz4u8kPg7DaJ5oQtTXuJzn&#10;81GjKXs3LTKNvz8V2QkPEylFV+PVOYlUQdnXikHZpPJEyHGd/Ew/dhl6cPqPXYk+CNKPJvDDdjga&#10;DsCCR7aaPYExrAbZQGL4msCi1fYrRj1MZo3dlz2xHCP5VoG5yqwowijHTTFf5rCx08h2GiGKAlSN&#10;PUbj8taP4783VuxauGm0s9LXYMhGRKs8szraGKYv1nT8UoTxnu5j1vP3bP0DAAD//wMAUEsDBBQA&#10;BgAIAAAAIQCs9VYL2gAAAAUBAAAPAAAAZHJzL2Rvd25yZXYueG1sTI9BT4NAEIXvJv6HzTTxYuxS&#10;olCRpVETjdfW/oABpkDKzhJ2W+i/d/RiL5O8vJc338s3s+3VmUbfOTawWkagiCtXd9wY2H9/PKxB&#10;+YBcY++YDFzIw6a4vckxq93EWzrvQqOkhH2GBtoQhkxrX7Vk0S/dQCzewY0Wg8ix0fWIk5TbXsdR&#10;lGiLHcuHFgd6b6k67k7WwOFrun96nsrPsE+3j8kbdmnpLsbcLebXF1CB5vAfhl98QYdCmEp34tqr&#10;3oAMCX9XvHiViCwllMZr0EWur+mLHwAAAP//AwBQSwECLQAUAAYACAAAACEAtoM4kv4AAADhAQAA&#10;EwAAAAAAAAAAAAAAAAAAAAAAW0NvbnRlbnRfVHlwZXNdLnhtbFBLAQItABQABgAIAAAAIQA4/SH/&#10;1gAAAJQBAAALAAAAAAAAAAAAAAAAAC8BAABfcmVscy8ucmVsc1BLAQItABQABgAIAAAAIQCJiUiT&#10;hgIAABcFAAAOAAAAAAAAAAAAAAAAAC4CAABkcnMvZTJvRG9jLnhtbFBLAQItABQABgAIAAAAIQCs&#10;9VYL2gAAAAUBAAAPAAAAAAAAAAAAAAAAAOAEAABkcnMvZG93bnJldi54bWxQSwUGAAAAAAQABADz&#10;AAAA5wUAAAAA&#10;" stroked="f">
                      <v:textbox>
                        <w:txbxContent>
                          <w:p w14:paraId="38824B25" w14:textId="77777777" w:rsidR="009520F3" w:rsidRPr="006370F7" w:rsidRDefault="009520F3" w:rsidP="0029017F">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7989984A" w14:textId="77777777" w:rsidR="009520F3" w:rsidRPr="006370F7" w:rsidRDefault="009520F3" w:rsidP="0029017F">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2EA44486" w14:textId="77777777" w:rsidR="009520F3" w:rsidRPr="006370F7" w:rsidRDefault="009520F3" w:rsidP="0029017F">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6EE5830C" w14:textId="77777777" w:rsidR="009520F3" w:rsidRDefault="009520F3" w:rsidP="0029017F">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75E1504D" w14:textId="77777777" w:rsidR="009520F3" w:rsidRPr="006370F7" w:rsidRDefault="009520F3" w:rsidP="0029017F">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18D9AC44" w14:textId="77777777" w:rsidR="0029017F" w:rsidRDefault="0029017F" w:rsidP="0029017F">
      <w:pPr>
        <w:rPr>
          <w:szCs w:val="22"/>
        </w:rPr>
      </w:pPr>
    </w:p>
    <w:p w14:paraId="62B91B09" w14:textId="77777777" w:rsidR="0029017F" w:rsidRPr="0029017F" w:rsidRDefault="0029017F" w:rsidP="0029017F">
      <w:pPr>
        <w:rPr>
          <w:szCs w:val="22"/>
        </w:rPr>
      </w:pPr>
    </w:p>
    <w:p w14:paraId="610184F0" w14:textId="77777777" w:rsidR="0029017F" w:rsidRPr="0029017F" w:rsidRDefault="0029017F" w:rsidP="00A33E4B">
      <w:pPr>
        <w:ind w:left="450"/>
        <w:rPr>
          <w:szCs w:val="22"/>
        </w:rPr>
      </w:pPr>
    </w:p>
    <w:p w14:paraId="03A1BF1C" w14:textId="77777777" w:rsidR="0029017F" w:rsidRDefault="0029017F" w:rsidP="0029017F">
      <w:pPr>
        <w:rPr>
          <w:szCs w:val="22"/>
        </w:rPr>
      </w:pPr>
    </w:p>
    <w:p w14:paraId="4EF9F232" w14:textId="3771182B" w:rsidR="0029017F" w:rsidRPr="00C51DFC" w:rsidRDefault="0029017F" w:rsidP="0029017F">
      <w:pPr>
        <w:tabs>
          <w:tab w:val="center" w:pos="1780"/>
        </w:tabs>
        <w:jc w:val="center"/>
        <w:rPr>
          <w:szCs w:val="22"/>
        </w:rPr>
      </w:pPr>
      <w:r>
        <w:rPr>
          <w:szCs w:val="22"/>
        </w:rPr>
        <w:br w:type="textWrapping" w:clear="all"/>
      </w:r>
    </w:p>
    <w:p w14:paraId="65CD49F2" w14:textId="3FC64623" w:rsidR="0029017F" w:rsidRDefault="0029017F" w:rsidP="0029017F">
      <w:pPr>
        <w:rPr>
          <w:rFonts w:cs="Arial"/>
          <w:szCs w:val="22"/>
        </w:rPr>
      </w:pPr>
      <w:r w:rsidRPr="00C2669A">
        <w:rPr>
          <w:rFonts w:cs="Arial"/>
          <w:szCs w:val="22"/>
        </w:rPr>
        <w:t>Date:</w:t>
      </w:r>
      <w:r w:rsidRPr="00C2669A">
        <w:rPr>
          <w:rFonts w:cs="Arial"/>
          <w:szCs w:val="22"/>
        </w:rPr>
        <w:tab/>
      </w:r>
      <w:r w:rsidRPr="00C2669A">
        <w:rPr>
          <w:rFonts w:cs="Arial"/>
          <w:szCs w:val="22"/>
        </w:rPr>
        <w:tab/>
      </w:r>
      <w:r w:rsidR="00C75B8B">
        <w:rPr>
          <w:rFonts w:cs="Arial"/>
          <w:szCs w:val="22"/>
        </w:rPr>
        <w:t>April 6</w:t>
      </w:r>
      <w:r>
        <w:rPr>
          <w:rFonts w:cs="Arial"/>
          <w:szCs w:val="22"/>
        </w:rPr>
        <w:t>, 2020</w:t>
      </w:r>
    </w:p>
    <w:p w14:paraId="0F9AA454" w14:textId="77777777" w:rsidR="0029017F" w:rsidRDefault="0029017F" w:rsidP="0029017F">
      <w:pPr>
        <w:rPr>
          <w:rFonts w:cs="Arial"/>
          <w:szCs w:val="22"/>
        </w:rPr>
      </w:pPr>
    </w:p>
    <w:p w14:paraId="3A9EF512" w14:textId="77777777" w:rsidR="0029017F" w:rsidRDefault="0029017F" w:rsidP="0029017F">
      <w:pPr>
        <w:tabs>
          <w:tab w:val="left" w:pos="1440"/>
        </w:tabs>
        <w:ind w:left="1440" w:hanging="1440"/>
        <w:rPr>
          <w:rFonts w:cs="Arial"/>
          <w:szCs w:val="22"/>
        </w:rPr>
      </w:pPr>
      <w:r>
        <w:rPr>
          <w:rFonts w:cs="Arial"/>
          <w:szCs w:val="22"/>
        </w:rPr>
        <w:t>To:</w:t>
      </w:r>
      <w:r>
        <w:rPr>
          <w:rFonts w:cs="Arial"/>
          <w:szCs w:val="22"/>
        </w:rPr>
        <w:tab/>
        <w:t>All Potential Proposers to ETF RFP ETI0050</w:t>
      </w:r>
    </w:p>
    <w:p w14:paraId="7F2C831C" w14:textId="77777777" w:rsidR="0029017F" w:rsidRPr="00C2669A" w:rsidRDefault="0029017F" w:rsidP="0029017F">
      <w:pPr>
        <w:rPr>
          <w:rFonts w:cs="Arial"/>
          <w:szCs w:val="22"/>
        </w:rPr>
      </w:pPr>
    </w:p>
    <w:p w14:paraId="69AEC5A0" w14:textId="2D533255" w:rsidR="0029017F" w:rsidRPr="00DE2238" w:rsidRDefault="0029017F" w:rsidP="0029017F">
      <w:pPr>
        <w:ind w:left="1440" w:hanging="1440"/>
        <w:rPr>
          <w:rFonts w:cs="Arial"/>
          <w:b/>
          <w:sz w:val="20"/>
        </w:rPr>
      </w:pPr>
      <w:r w:rsidRPr="00C2669A">
        <w:rPr>
          <w:rFonts w:cs="Arial"/>
          <w:szCs w:val="22"/>
        </w:rPr>
        <w:t>RE:</w:t>
      </w:r>
      <w:r w:rsidRPr="00C2669A">
        <w:rPr>
          <w:rFonts w:cs="Arial"/>
          <w:szCs w:val="22"/>
        </w:rPr>
        <w:tab/>
      </w:r>
      <w:r>
        <w:rPr>
          <w:rFonts w:cs="Arial"/>
          <w:b/>
          <w:szCs w:val="22"/>
        </w:rPr>
        <w:t>A</w:t>
      </w:r>
      <w:r w:rsidR="00A33E4B">
        <w:rPr>
          <w:rFonts w:cs="Arial"/>
          <w:b/>
          <w:szCs w:val="22"/>
        </w:rPr>
        <w:t>DDENDUM</w:t>
      </w:r>
      <w:bookmarkStart w:id="0" w:name="_GoBack"/>
      <w:bookmarkEnd w:id="0"/>
      <w:r>
        <w:rPr>
          <w:rFonts w:cs="Arial"/>
          <w:b/>
          <w:szCs w:val="22"/>
        </w:rPr>
        <w:t xml:space="preserve"> No. </w:t>
      </w:r>
      <w:r w:rsidR="00C75B8B">
        <w:rPr>
          <w:rFonts w:cs="Arial"/>
          <w:b/>
          <w:szCs w:val="22"/>
        </w:rPr>
        <w:t>3</w:t>
      </w:r>
      <w:r>
        <w:rPr>
          <w:rFonts w:cs="Arial"/>
          <w:b/>
          <w:szCs w:val="22"/>
        </w:rPr>
        <w:t xml:space="preserve"> to Request for Proposals (RFP) ETI0050 </w:t>
      </w:r>
      <w:r w:rsidRPr="00140D7D">
        <w:rPr>
          <w:rFonts w:cs="Arial"/>
          <w:b/>
          <w:bCs/>
          <w:szCs w:val="22"/>
        </w:rPr>
        <w:t xml:space="preserve">– </w:t>
      </w:r>
      <w:r>
        <w:rPr>
          <w:rFonts w:cs="Arial"/>
          <w:b/>
          <w:bCs/>
          <w:szCs w:val="22"/>
        </w:rPr>
        <w:t>Insurance Administration System</w:t>
      </w:r>
      <w:r>
        <w:rPr>
          <w:rFonts w:cs="Arial"/>
          <w:b/>
          <w:szCs w:val="22"/>
        </w:rPr>
        <w:t xml:space="preserve"> </w:t>
      </w:r>
    </w:p>
    <w:p w14:paraId="70E08016" w14:textId="77777777" w:rsidR="0029017F" w:rsidRPr="00C2669A" w:rsidRDefault="0029017F" w:rsidP="0029017F">
      <w:pPr>
        <w:pBdr>
          <w:bottom w:val="single" w:sz="4" w:space="1" w:color="auto"/>
        </w:pBdr>
        <w:rPr>
          <w:rFonts w:cs="Arial"/>
          <w:szCs w:val="22"/>
        </w:rPr>
      </w:pPr>
    </w:p>
    <w:p w14:paraId="6F9EBA95" w14:textId="77777777" w:rsidR="0029017F" w:rsidRDefault="0029017F" w:rsidP="0029017F">
      <w:pPr>
        <w:rPr>
          <w:rFonts w:cs="Arial"/>
          <w:b/>
          <w:szCs w:val="22"/>
        </w:rPr>
      </w:pPr>
    </w:p>
    <w:p w14:paraId="3768EA3A" w14:textId="61521399" w:rsidR="0029017F" w:rsidRDefault="0029017F" w:rsidP="0029017F">
      <w:pPr>
        <w:rPr>
          <w:rFonts w:cs="Arial"/>
          <w:b/>
          <w:szCs w:val="22"/>
        </w:rPr>
      </w:pPr>
      <w:r>
        <w:rPr>
          <w:rFonts w:cs="Arial"/>
          <w:b/>
          <w:szCs w:val="22"/>
        </w:rPr>
        <w:t xml:space="preserve">Acknowledgement of receipt of this Addendum No. </w:t>
      </w:r>
      <w:r w:rsidR="00C75B8B">
        <w:rPr>
          <w:rFonts w:cs="Arial"/>
          <w:b/>
          <w:szCs w:val="22"/>
        </w:rPr>
        <w:t>3</w:t>
      </w:r>
      <w:r>
        <w:rPr>
          <w:rFonts w:cs="Arial"/>
          <w:b/>
          <w:szCs w:val="22"/>
        </w:rPr>
        <w:t>:</w:t>
      </w:r>
      <w:r w:rsidRPr="00842D08">
        <w:rPr>
          <w:rFonts w:cs="Arial"/>
          <w:b/>
          <w:szCs w:val="22"/>
        </w:rPr>
        <w:t xml:space="preserve"> </w:t>
      </w:r>
      <w:r>
        <w:rPr>
          <w:rFonts w:cs="Arial"/>
          <w:b/>
          <w:szCs w:val="22"/>
        </w:rPr>
        <w:t xml:space="preserve"> </w:t>
      </w:r>
    </w:p>
    <w:p w14:paraId="4EEE95E6" w14:textId="77777777" w:rsidR="0029017F" w:rsidRDefault="0029017F" w:rsidP="0029017F">
      <w:pPr>
        <w:rPr>
          <w:rFonts w:cs="Arial"/>
          <w:b/>
          <w:szCs w:val="22"/>
        </w:rPr>
      </w:pPr>
    </w:p>
    <w:p w14:paraId="4A412B90" w14:textId="77777777" w:rsidR="00A33E4B" w:rsidRDefault="0029017F" w:rsidP="0029017F">
      <w:pPr>
        <w:rPr>
          <w:rFonts w:cs="Arial"/>
          <w:b/>
          <w:szCs w:val="22"/>
        </w:rPr>
      </w:pPr>
      <w:r w:rsidRPr="002978C6">
        <w:rPr>
          <w:rFonts w:cs="Arial"/>
          <w:b/>
          <w:szCs w:val="22"/>
        </w:rPr>
        <w:t>Proposers must acknowledg</w:t>
      </w:r>
      <w:r>
        <w:rPr>
          <w:rFonts w:cs="Arial"/>
          <w:b/>
          <w:szCs w:val="22"/>
        </w:rPr>
        <w:t xml:space="preserve">e receipt of this Addendum No. </w:t>
      </w:r>
      <w:r w:rsidR="00C75B8B">
        <w:rPr>
          <w:rFonts w:cs="Arial"/>
          <w:b/>
          <w:szCs w:val="22"/>
        </w:rPr>
        <w:t>3</w:t>
      </w:r>
      <w:r>
        <w:rPr>
          <w:rFonts w:cs="Arial"/>
          <w:b/>
          <w:szCs w:val="22"/>
        </w:rPr>
        <w:t xml:space="preserve"> </w:t>
      </w:r>
      <w:r w:rsidRPr="002978C6">
        <w:rPr>
          <w:rFonts w:cs="Arial"/>
          <w:b/>
          <w:szCs w:val="22"/>
        </w:rPr>
        <w:t>by providing the required information in th</w:t>
      </w:r>
      <w:r>
        <w:rPr>
          <w:rFonts w:cs="Arial"/>
          <w:b/>
          <w:szCs w:val="22"/>
        </w:rPr>
        <w:t xml:space="preserve">e </w:t>
      </w:r>
    </w:p>
    <w:p w14:paraId="31F988CC" w14:textId="5183D9A3" w:rsidR="0029017F" w:rsidRDefault="0029017F" w:rsidP="0029017F">
      <w:pPr>
        <w:rPr>
          <w:rFonts w:cs="Arial"/>
          <w:b/>
          <w:szCs w:val="22"/>
        </w:rPr>
      </w:pPr>
      <w:r>
        <w:rPr>
          <w:rFonts w:cs="Arial"/>
          <w:b/>
          <w:szCs w:val="22"/>
        </w:rPr>
        <w:t>box below and including this P</w:t>
      </w:r>
      <w:r w:rsidRPr="002978C6">
        <w:rPr>
          <w:rFonts w:cs="Arial"/>
          <w:b/>
          <w:szCs w:val="22"/>
        </w:rPr>
        <w:t>age 1</w:t>
      </w:r>
      <w:r>
        <w:rPr>
          <w:rFonts w:cs="Arial"/>
          <w:b/>
          <w:szCs w:val="22"/>
        </w:rPr>
        <w:t xml:space="preserve"> in the Tab 1 section of their P</w:t>
      </w:r>
      <w:r w:rsidRPr="002978C6">
        <w:rPr>
          <w:rFonts w:cs="Arial"/>
          <w:b/>
          <w:szCs w:val="22"/>
        </w:rPr>
        <w:t>roposal.</w:t>
      </w:r>
    </w:p>
    <w:p w14:paraId="4D01D7B2" w14:textId="77777777" w:rsidR="0029017F" w:rsidRPr="007A7F10" w:rsidRDefault="0029017F" w:rsidP="0029017F">
      <w:pPr>
        <w:rPr>
          <w:rFonts w:cs="Arial"/>
          <w:sz w:val="16"/>
          <w:szCs w:val="16"/>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29017F" w:rsidRPr="00C2669A" w14:paraId="7EFCE17B" w14:textId="77777777" w:rsidTr="009520F3">
        <w:trPr>
          <w:trHeight w:hRule="exact" w:val="360"/>
          <w:jc w:val="center"/>
        </w:trPr>
        <w:tc>
          <w:tcPr>
            <w:tcW w:w="6157" w:type="dxa"/>
            <w:tcBorders>
              <w:top w:val="single" w:sz="12" w:space="0" w:color="auto"/>
              <w:left w:val="single" w:sz="12" w:space="0" w:color="auto"/>
            </w:tcBorders>
          </w:tcPr>
          <w:p w14:paraId="5ABC9C7B" w14:textId="77777777" w:rsidR="0029017F" w:rsidRPr="00C2669A" w:rsidRDefault="0029017F" w:rsidP="009520F3">
            <w:pPr>
              <w:spacing w:before="120" w:after="120"/>
              <w:rPr>
                <w:rFonts w:cs="Arial"/>
                <w:szCs w:val="22"/>
              </w:rPr>
            </w:pPr>
          </w:p>
        </w:tc>
        <w:tc>
          <w:tcPr>
            <w:tcW w:w="1848" w:type="dxa"/>
            <w:tcBorders>
              <w:top w:val="single" w:sz="12" w:space="0" w:color="auto"/>
            </w:tcBorders>
          </w:tcPr>
          <w:p w14:paraId="10CC0C34" w14:textId="77777777" w:rsidR="0029017F" w:rsidRPr="00C2669A" w:rsidRDefault="0029017F" w:rsidP="009520F3">
            <w:pPr>
              <w:spacing w:before="120" w:after="120"/>
              <w:rPr>
                <w:rFonts w:cs="Arial"/>
                <w:szCs w:val="22"/>
              </w:rPr>
            </w:pPr>
          </w:p>
        </w:tc>
      </w:tr>
      <w:tr w:rsidR="0029017F" w:rsidRPr="00C2669A" w14:paraId="78859291" w14:textId="77777777" w:rsidTr="009520F3">
        <w:trPr>
          <w:trHeight w:hRule="exact" w:val="360"/>
          <w:jc w:val="center"/>
        </w:trPr>
        <w:tc>
          <w:tcPr>
            <w:tcW w:w="6157" w:type="dxa"/>
            <w:tcBorders>
              <w:left w:val="single" w:sz="12" w:space="0" w:color="auto"/>
              <w:bottom w:val="single" w:sz="4" w:space="0" w:color="auto"/>
            </w:tcBorders>
          </w:tcPr>
          <w:p w14:paraId="46632D89" w14:textId="77777777" w:rsidR="0029017F" w:rsidRPr="00C2669A" w:rsidRDefault="0029017F" w:rsidP="009520F3">
            <w:pPr>
              <w:spacing w:before="120" w:after="120"/>
              <w:rPr>
                <w:rFonts w:cs="Arial"/>
                <w:szCs w:val="22"/>
              </w:rPr>
            </w:pPr>
            <w:r>
              <w:rPr>
                <w:rFonts w:cs="Arial"/>
                <w:szCs w:val="22"/>
              </w:rPr>
              <w:t>Proposer’s Company Name:</w:t>
            </w:r>
          </w:p>
        </w:tc>
        <w:tc>
          <w:tcPr>
            <w:tcW w:w="1848" w:type="dxa"/>
            <w:tcBorders>
              <w:bottom w:val="single" w:sz="4" w:space="0" w:color="auto"/>
            </w:tcBorders>
          </w:tcPr>
          <w:p w14:paraId="65D6B25D" w14:textId="77777777" w:rsidR="0029017F" w:rsidRPr="00C2669A" w:rsidRDefault="0029017F" w:rsidP="009520F3">
            <w:pPr>
              <w:spacing w:before="120" w:after="120"/>
              <w:rPr>
                <w:rFonts w:cs="Arial"/>
                <w:szCs w:val="22"/>
              </w:rPr>
            </w:pPr>
          </w:p>
        </w:tc>
      </w:tr>
      <w:tr w:rsidR="0029017F" w:rsidRPr="00C2669A" w14:paraId="121DC157" w14:textId="77777777" w:rsidTr="009520F3">
        <w:trPr>
          <w:trHeight w:hRule="exact" w:val="360"/>
          <w:jc w:val="center"/>
        </w:trPr>
        <w:tc>
          <w:tcPr>
            <w:tcW w:w="6157" w:type="dxa"/>
            <w:tcBorders>
              <w:top w:val="single" w:sz="4" w:space="0" w:color="auto"/>
              <w:left w:val="single" w:sz="12" w:space="0" w:color="auto"/>
              <w:bottom w:val="nil"/>
            </w:tcBorders>
          </w:tcPr>
          <w:p w14:paraId="3754BD63" w14:textId="77777777" w:rsidR="0029017F" w:rsidRPr="00C2669A" w:rsidRDefault="0029017F" w:rsidP="009520F3">
            <w:pPr>
              <w:spacing w:before="120" w:after="120"/>
              <w:rPr>
                <w:rFonts w:cs="Arial"/>
                <w:szCs w:val="22"/>
              </w:rPr>
            </w:pPr>
          </w:p>
        </w:tc>
        <w:tc>
          <w:tcPr>
            <w:tcW w:w="1848" w:type="dxa"/>
            <w:tcBorders>
              <w:top w:val="single" w:sz="4" w:space="0" w:color="auto"/>
              <w:bottom w:val="nil"/>
            </w:tcBorders>
          </w:tcPr>
          <w:p w14:paraId="48F24A6B" w14:textId="77777777" w:rsidR="0029017F" w:rsidRPr="00C2669A" w:rsidRDefault="0029017F" w:rsidP="009520F3">
            <w:pPr>
              <w:spacing w:before="120" w:after="120"/>
              <w:rPr>
                <w:rFonts w:cs="Arial"/>
                <w:szCs w:val="22"/>
              </w:rPr>
            </w:pPr>
          </w:p>
        </w:tc>
      </w:tr>
      <w:tr w:rsidR="0029017F" w:rsidRPr="00C2669A" w14:paraId="08082A09" w14:textId="77777777" w:rsidTr="009520F3">
        <w:trPr>
          <w:trHeight w:hRule="exact" w:val="360"/>
          <w:jc w:val="center"/>
        </w:trPr>
        <w:tc>
          <w:tcPr>
            <w:tcW w:w="6157" w:type="dxa"/>
            <w:tcBorders>
              <w:left w:val="single" w:sz="12" w:space="0" w:color="auto"/>
              <w:bottom w:val="single" w:sz="4" w:space="0" w:color="auto"/>
            </w:tcBorders>
          </w:tcPr>
          <w:p w14:paraId="1A8EF19C" w14:textId="77777777" w:rsidR="0029017F" w:rsidRPr="00C2669A" w:rsidRDefault="0029017F" w:rsidP="009520F3">
            <w:pPr>
              <w:spacing w:before="120" w:after="120"/>
              <w:rPr>
                <w:rFonts w:cs="Arial"/>
                <w:szCs w:val="22"/>
              </w:rPr>
            </w:pPr>
            <w:r w:rsidRPr="00C2669A">
              <w:rPr>
                <w:rFonts w:cs="Arial"/>
                <w:szCs w:val="22"/>
              </w:rPr>
              <w:t xml:space="preserve">Authorized </w:t>
            </w:r>
            <w:r>
              <w:rPr>
                <w:rFonts w:cs="Arial"/>
                <w:szCs w:val="22"/>
              </w:rPr>
              <w:t xml:space="preserve">Person (Printed </w:t>
            </w:r>
            <w:r w:rsidRPr="00C2669A">
              <w:rPr>
                <w:rFonts w:cs="Arial"/>
                <w:szCs w:val="22"/>
              </w:rPr>
              <w:t>Name</w:t>
            </w:r>
            <w:r>
              <w:rPr>
                <w:rFonts w:cs="Arial"/>
                <w:szCs w:val="22"/>
              </w:rPr>
              <w:t xml:space="preserve"> and Title):</w:t>
            </w:r>
          </w:p>
        </w:tc>
        <w:tc>
          <w:tcPr>
            <w:tcW w:w="1848" w:type="dxa"/>
            <w:tcBorders>
              <w:bottom w:val="single" w:sz="4" w:space="0" w:color="auto"/>
            </w:tcBorders>
          </w:tcPr>
          <w:p w14:paraId="78D7C0B0" w14:textId="77777777" w:rsidR="0029017F" w:rsidRPr="00C2669A" w:rsidRDefault="0029017F" w:rsidP="009520F3">
            <w:pPr>
              <w:spacing w:before="120" w:after="120"/>
              <w:rPr>
                <w:rFonts w:cs="Arial"/>
                <w:szCs w:val="22"/>
              </w:rPr>
            </w:pPr>
          </w:p>
        </w:tc>
      </w:tr>
      <w:tr w:rsidR="0029017F" w:rsidRPr="00C2669A" w14:paraId="26BDC0F6" w14:textId="77777777" w:rsidTr="009520F3">
        <w:trPr>
          <w:trHeight w:hRule="exact" w:val="360"/>
          <w:jc w:val="center"/>
        </w:trPr>
        <w:tc>
          <w:tcPr>
            <w:tcW w:w="6157" w:type="dxa"/>
            <w:tcBorders>
              <w:top w:val="single" w:sz="4" w:space="0" w:color="auto"/>
              <w:left w:val="single" w:sz="12" w:space="0" w:color="auto"/>
              <w:bottom w:val="nil"/>
            </w:tcBorders>
          </w:tcPr>
          <w:p w14:paraId="3C4145C1" w14:textId="77777777" w:rsidR="0029017F" w:rsidRPr="00C2669A" w:rsidRDefault="0029017F" w:rsidP="009520F3">
            <w:pPr>
              <w:spacing w:before="120" w:after="120"/>
              <w:rPr>
                <w:rFonts w:cs="Arial"/>
                <w:szCs w:val="22"/>
              </w:rPr>
            </w:pPr>
          </w:p>
        </w:tc>
        <w:tc>
          <w:tcPr>
            <w:tcW w:w="1848" w:type="dxa"/>
            <w:tcBorders>
              <w:top w:val="single" w:sz="4" w:space="0" w:color="auto"/>
              <w:bottom w:val="nil"/>
            </w:tcBorders>
          </w:tcPr>
          <w:p w14:paraId="2F1DD694" w14:textId="77777777" w:rsidR="0029017F" w:rsidRPr="00C2669A" w:rsidRDefault="0029017F" w:rsidP="009520F3">
            <w:pPr>
              <w:spacing w:before="120" w:after="120"/>
              <w:rPr>
                <w:rFonts w:cs="Arial"/>
                <w:szCs w:val="22"/>
              </w:rPr>
            </w:pPr>
          </w:p>
        </w:tc>
      </w:tr>
      <w:tr w:rsidR="0029017F" w:rsidRPr="00C2669A" w14:paraId="3088C30F" w14:textId="77777777" w:rsidTr="009520F3">
        <w:trPr>
          <w:trHeight w:hRule="exact" w:val="360"/>
          <w:jc w:val="center"/>
        </w:trPr>
        <w:tc>
          <w:tcPr>
            <w:tcW w:w="6157" w:type="dxa"/>
            <w:tcBorders>
              <w:left w:val="single" w:sz="12" w:space="0" w:color="auto"/>
              <w:bottom w:val="single" w:sz="4" w:space="0" w:color="auto"/>
            </w:tcBorders>
          </w:tcPr>
          <w:p w14:paraId="58A064FF" w14:textId="77777777" w:rsidR="0029017F" w:rsidRPr="00C2669A" w:rsidRDefault="0029017F" w:rsidP="009520F3">
            <w:pPr>
              <w:spacing w:before="120" w:after="120"/>
              <w:rPr>
                <w:rFonts w:cs="Arial"/>
                <w:szCs w:val="22"/>
              </w:rPr>
            </w:pPr>
            <w:r w:rsidRPr="00C2669A">
              <w:rPr>
                <w:rFonts w:cs="Arial"/>
                <w:szCs w:val="22"/>
              </w:rPr>
              <w:t xml:space="preserve">Authorized </w:t>
            </w:r>
            <w:r>
              <w:rPr>
                <w:rFonts w:cs="Arial"/>
                <w:szCs w:val="22"/>
              </w:rPr>
              <w:t xml:space="preserve">Person’s </w:t>
            </w:r>
            <w:r w:rsidRPr="00C2669A">
              <w:rPr>
                <w:rFonts w:cs="Arial"/>
                <w:szCs w:val="22"/>
              </w:rPr>
              <w:t>Signature</w:t>
            </w:r>
            <w:r>
              <w:rPr>
                <w:rFonts w:cs="Arial"/>
                <w:szCs w:val="22"/>
              </w:rPr>
              <w:t>:</w:t>
            </w:r>
          </w:p>
        </w:tc>
        <w:tc>
          <w:tcPr>
            <w:tcW w:w="1848" w:type="dxa"/>
            <w:tcBorders>
              <w:bottom w:val="single" w:sz="4" w:space="0" w:color="auto"/>
            </w:tcBorders>
          </w:tcPr>
          <w:p w14:paraId="1C4F7D5B" w14:textId="77777777" w:rsidR="0029017F" w:rsidRPr="00C2669A" w:rsidRDefault="0029017F" w:rsidP="009520F3">
            <w:pPr>
              <w:spacing w:before="120" w:after="120"/>
              <w:rPr>
                <w:rFonts w:cs="Arial"/>
                <w:szCs w:val="22"/>
              </w:rPr>
            </w:pPr>
          </w:p>
        </w:tc>
      </w:tr>
      <w:tr w:rsidR="0029017F" w:rsidRPr="00C2669A" w14:paraId="0369BACF" w14:textId="77777777" w:rsidTr="009520F3">
        <w:trPr>
          <w:jc w:val="center"/>
        </w:trPr>
        <w:tc>
          <w:tcPr>
            <w:tcW w:w="6157" w:type="dxa"/>
            <w:tcBorders>
              <w:top w:val="single" w:sz="4" w:space="0" w:color="auto"/>
              <w:left w:val="single" w:sz="12" w:space="0" w:color="auto"/>
              <w:bottom w:val="single" w:sz="12" w:space="0" w:color="auto"/>
            </w:tcBorders>
          </w:tcPr>
          <w:p w14:paraId="09AFD65E" w14:textId="77777777" w:rsidR="0029017F" w:rsidRPr="00C2669A" w:rsidRDefault="0029017F" w:rsidP="009520F3">
            <w:pPr>
              <w:spacing w:before="120" w:after="120"/>
              <w:rPr>
                <w:rFonts w:cs="Arial"/>
                <w:szCs w:val="22"/>
              </w:rPr>
            </w:pPr>
          </w:p>
        </w:tc>
        <w:tc>
          <w:tcPr>
            <w:tcW w:w="1848" w:type="dxa"/>
            <w:tcBorders>
              <w:top w:val="single" w:sz="4" w:space="0" w:color="auto"/>
              <w:bottom w:val="single" w:sz="12" w:space="0" w:color="auto"/>
            </w:tcBorders>
          </w:tcPr>
          <w:p w14:paraId="39BF854D" w14:textId="77777777" w:rsidR="0029017F" w:rsidRPr="00C2669A" w:rsidRDefault="0029017F" w:rsidP="009520F3">
            <w:pPr>
              <w:spacing w:before="120" w:after="120"/>
              <w:rPr>
                <w:rFonts w:cs="Arial"/>
                <w:szCs w:val="22"/>
              </w:rPr>
            </w:pPr>
            <w:r>
              <w:rPr>
                <w:rFonts w:cs="Arial"/>
                <w:szCs w:val="22"/>
              </w:rPr>
              <w:t>Date</w:t>
            </w:r>
          </w:p>
        </w:tc>
      </w:tr>
    </w:tbl>
    <w:p w14:paraId="0A3056E4" w14:textId="77777777" w:rsidR="0029017F" w:rsidRDefault="0029017F" w:rsidP="0029017F">
      <w:pPr>
        <w:rPr>
          <w:rFonts w:cs="Arial"/>
          <w:b/>
          <w:szCs w:val="22"/>
        </w:rPr>
      </w:pPr>
    </w:p>
    <w:p w14:paraId="7B822B70" w14:textId="2E49BC36" w:rsidR="0029017F" w:rsidRDefault="0029017F" w:rsidP="0029017F">
      <w:pPr>
        <w:rPr>
          <w:rFonts w:cs="Arial"/>
          <w:b/>
        </w:rPr>
      </w:pPr>
      <w:r w:rsidRPr="00F61D3A">
        <w:rPr>
          <w:rFonts w:cs="Arial"/>
          <w:b/>
        </w:rPr>
        <w:t>Please</w:t>
      </w:r>
      <w:r w:rsidR="00C75B8B">
        <w:rPr>
          <w:rFonts w:cs="Arial"/>
          <w:b/>
        </w:rPr>
        <w:t xml:space="preserve"> </w:t>
      </w:r>
      <w:r w:rsidRPr="00F61D3A">
        <w:rPr>
          <w:rFonts w:cs="Arial"/>
          <w:b/>
        </w:rPr>
        <w:t>note the following updates to RFP</w:t>
      </w:r>
      <w:r>
        <w:rPr>
          <w:rFonts w:cs="Arial"/>
          <w:b/>
        </w:rPr>
        <w:t xml:space="preserve"> ETI0050</w:t>
      </w:r>
      <w:r w:rsidRPr="00F61D3A">
        <w:rPr>
          <w:rFonts w:cs="Arial"/>
          <w:b/>
        </w:rPr>
        <w:t>:</w:t>
      </w:r>
    </w:p>
    <w:p w14:paraId="5DC61CC9" w14:textId="144B3B91" w:rsidR="00C75B8B" w:rsidRDefault="00C75B8B" w:rsidP="0029017F">
      <w:pPr>
        <w:rPr>
          <w:rFonts w:cs="Arial"/>
          <w:b/>
        </w:rPr>
      </w:pPr>
    </w:p>
    <w:p w14:paraId="2538D669" w14:textId="26CB21CD" w:rsidR="00C75B8B" w:rsidRDefault="00C75B8B" w:rsidP="00C75B8B">
      <w:pPr>
        <w:pStyle w:val="ListParagraph"/>
        <w:numPr>
          <w:ilvl w:val="0"/>
          <w:numId w:val="49"/>
        </w:numPr>
        <w:ind w:left="450"/>
        <w:rPr>
          <w:rFonts w:cs="Arial"/>
          <w:bCs/>
        </w:rPr>
      </w:pPr>
      <w:r w:rsidRPr="00C75B8B">
        <w:rPr>
          <w:rFonts w:cs="Arial"/>
          <w:b/>
          <w:u w:val="single"/>
        </w:rPr>
        <w:t>ADD</w:t>
      </w:r>
      <w:r w:rsidRPr="00C75B8B">
        <w:rPr>
          <w:rFonts w:cs="Arial"/>
          <w:bCs/>
        </w:rPr>
        <w:t xml:space="preserve"> to the RFP the following questions regarding RFP ETI0050 from Proposers and answers from the Department:</w:t>
      </w:r>
    </w:p>
    <w:p w14:paraId="59DC7DA1" w14:textId="7ACC6041" w:rsidR="00C75B8B" w:rsidRDefault="00C75B8B" w:rsidP="00C75B8B">
      <w:pPr>
        <w:pStyle w:val="ListParagraph"/>
        <w:rPr>
          <w:rFonts w:cs="Arial"/>
          <w:b/>
          <w:u w:val="single"/>
        </w:rPr>
      </w:pPr>
    </w:p>
    <w:p w14:paraId="0D95847E" w14:textId="11C66D8A" w:rsidR="00C75B8B" w:rsidRPr="00C75B8B" w:rsidRDefault="00C75B8B" w:rsidP="00C75B8B">
      <w:pPr>
        <w:pStyle w:val="ListParagraph"/>
        <w:ind w:left="540" w:hanging="90"/>
        <w:rPr>
          <w:rFonts w:cs="Arial"/>
          <w:bCs/>
        </w:rPr>
      </w:pPr>
      <w:r w:rsidRPr="00C75B8B">
        <w:rPr>
          <w:rFonts w:cs="Arial"/>
          <w:bCs/>
        </w:rPr>
        <w:t>Vendor Q&amp;A</w:t>
      </w:r>
    </w:p>
    <w:p w14:paraId="1853CFD8" w14:textId="62595E58" w:rsidR="00CC4722" w:rsidRDefault="00CC4722" w:rsidP="00F61E1E">
      <w:pPr>
        <w:widowControl w:val="0"/>
        <w:autoSpaceDE w:val="0"/>
        <w:autoSpaceDN w:val="0"/>
        <w:spacing w:after="120"/>
        <w:contextualSpacing/>
        <w:jc w:val="right"/>
        <w:rPr>
          <w:rFonts w:ascii="Calibri Light" w:eastAsia="Verdana" w:hAnsi="Calibri Light" w:cs="Verdana"/>
          <w:sz w:val="20"/>
        </w:rPr>
      </w:pPr>
    </w:p>
    <w:p w14:paraId="19853DBF" w14:textId="77777777" w:rsidR="00CC4722" w:rsidRPr="007B1A00" w:rsidRDefault="00CC4722" w:rsidP="00F61E1E">
      <w:pPr>
        <w:widowControl w:val="0"/>
        <w:autoSpaceDE w:val="0"/>
        <w:autoSpaceDN w:val="0"/>
        <w:spacing w:after="120"/>
        <w:contextualSpacing/>
        <w:jc w:val="right"/>
        <w:rPr>
          <w:rFonts w:ascii="Calibri Light" w:eastAsia="Verdana" w:hAnsi="Calibri Light" w:cs="Verdana"/>
          <w:sz w:val="20"/>
        </w:rPr>
      </w:pPr>
    </w:p>
    <w:tbl>
      <w:tblPr>
        <w:tblW w:w="13050" w:type="dxa"/>
        <w:tblBorders>
          <w:top w:val="single" w:sz="4" w:space="0" w:color="FFFFFF"/>
          <w:insideH w:val="single" w:sz="4" w:space="0" w:color="E7E6E6"/>
          <w:insideV w:val="single" w:sz="4" w:space="0" w:color="E7E6E6"/>
        </w:tblBorders>
        <w:tblLayout w:type="fixed"/>
        <w:tblLook w:val="04A0" w:firstRow="1" w:lastRow="0" w:firstColumn="1" w:lastColumn="0" w:noHBand="0" w:noVBand="1"/>
      </w:tblPr>
      <w:tblGrid>
        <w:gridCol w:w="720"/>
        <w:gridCol w:w="1710"/>
        <w:gridCol w:w="1710"/>
        <w:gridCol w:w="3420"/>
        <w:gridCol w:w="5490"/>
      </w:tblGrid>
      <w:tr w:rsidR="004436D3" w:rsidRPr="007B1A00" w14:paraId="562E073A" w14:textId="77777777" w:rsidTr="00AC3150">
        <w:trPr>
          <w:tblHeader/>
        </w:trPr>
        <w:tc>
          <w:tcPr>
            <w:tcW w:w="720" w:type="dxa"/>
            <w:shd w:val="clear" w:color="auto" w:fill="1F497D"/>
          </w:tcPr>
          <w:p w14:paraId="09FFC421" w14:textId="77777777" w:rsidR="004436D3" w:rsidRPr="007B1A00" w:rsidRDefault="004436D3" w:rsidP="00F61E1E">
            <w:pPr>
              <w:spacing w:before="120" w:after="120"/>
              <w:rPr>
                <w:rFonts w:cs="Arial"/>
                <w:color w:val="FFFFFF" w:themeColor="background1"/>
                <w:sz w:val="20"/>
              </w:rPr>
            </w:pPr>
            <w:bookmarkStart w:id="1" w:name="_Hlk35285035"/>
            <w:r w:rsidRPr="007B1A00">
              <w:rPr>
                <w:rFonts w:cs="Arial"/>
                <w:color w:val="FFFFFF" w:themeColor="background1"/>
                <w:sz w:val="20"/>
              </w:rPr>
              <w:t>Q #</w:t>
            </w:r>
          </w:p>
        </w:tc>
        <w:tc>
          <w:tcPr>
            <w:tcW w:w="1710" w:type="dxa"/>
            <w:shd w:val="clear" w:color="auto" w:fill="1F497D"/>
          </w:tcPr>
          <w:p w14:paraId="3413D412" w14:textId="77777777" w:rsidR="004436D3" w:rsidRPr="007B1A00" w:rsidRDefault="004436D3" w:rsidP="00F61E1E">
            <w:pPr>
              <w:spacing w:before="120" w:after="120"/>
              <w:rPr>
                <w:rFonts w:cs="Arial"/>
                <w:color w:val="FFFFFF" w:themeColor="background1"/>
                <w:sz w:val="20"/>
              </w:rPr>
            </w:pPr>
            <w:r w:rsidRPr="007B1A00">
              <w:rPr>
                <w:rFonts w:cs="Arial"/>
                <w:color w:val="FFFFFF" w:themeColor="background1"/>
                <w:sz w:val="20"/>
              </w:rPr>
              <w:t>RFP Section</w:t>
            </w:r>
          </w:p>
        </w:tc>
        <w:tc>
          <w:tcPr>
            <w:tcW w:w="1710" w:type="dxa"/>
            <w:shd w:val="clear" w:color="auto" w:fill="1F497D"/>
          </w:tcPr>
          <w:p w14:paraId="77BB8536" w14:textId="77777777" w:rsidR="004436D3" w:rsidRPr="007B1A00" w:rsidRDefault="004436D3" w:rsidP="00F61E1E">
            <w:pPr>
              <w:spacing w:before="120" w:after="120"/>
              <w:rPr>
                <w:rFonts w:cs="Arial"/>
                <w:color w:val="FFFFFF" w:themeColor="background1"/>
                <w:sz w:val="20"/>
              </w:rPr>
            </w:pPr>
            <w:r w:rsidRPr="007B1A00">
              <w:rPr>
                <w:rFonts w:cs="Arial"/>
                <w:color w:val="FFFFFF" w:themeColor="background1"/>
                <w:sz w:val="20"/>
              </w:rPr>
              <w:t>RFP Page</w:t>
            </w:r>
          </w:p>
        </w:tc>
        <w:tc>
          <w:tcPr>
            <w:tcW w:w="3420" w:type="dxa"/>
            <w:shd w:val="clear" w:color="auto" w:fill="1F497D"/>
          </w:tcPr>
          <w:p w14:paraId="6FF25E2D" w14:textId="77777777" w:rsidR="004436D3" w:rsidRPr="007B1A00" w:rsidRDefault="004436D3" w:rsidP="00F61E1E">
            <w:pPr>
              <w:spacing w:before="120" w:after="120"/>
              <w:rPr>
                <w:rFonts w:cs="Arial"/>
                <w:color w:val="FFFFFF" w:themeColor="background1"/>
                <w:sz w:val="20"/>
              </w:rPr>
            </w:pPr>
            <w:r w:rsidRPr="007B1A00">
              <w:rPr>
                <w:rFonts w:cs="Arial"/>
                <w:color w:val="FFFFFF" w:themeColor="background1"/>
                <w:sz w:val="20"/>
              </w:rPr>
              <w:t>Question/Rationale</w:t>
            </w:r>
          </w:p>
        </w:tc>
        <w:tc>
          <w:tcPr>
            <w:tcW w:w="5490" w:type="dxa"/>
            <w:shd w:val="clear" w:color="auto" w:fill="1F497D"/>
          </w:tcPr>
          <w:p w14:paraId="4013E467" w14:textId="41403C13" w:rsidR="004436D3" w:rsidRPr="007B1A00" w:rsidRDefault="004436D3" w:rsidP="00F61E1E">
            <w:pPr>
              <w:spacing w:before="120" w:after="120"/>
              <w:rPr>
                <w:rFonts w:cs="Arial"/>
                <w:color w:val="FFFFFF" w:themeColor="background1"/>
                <w:sz w:val="20"/>
              </w:rPr>
            </w:pPr>
            <w:r w:rsidRPr="007B1A00">
              <w:rPr>
                <w:rFonts w:cs="Arial"/>
                <w:color w:val="FFFFFF" w:themeColor="background1"/>
                <w:sz w:val="20"/>
              </w:rPr>
              <w:t>Department Answer</w:t>
            </w:r>
          </w:p>
        </w:tc>
      </w:tr>
      <w:bookmarkEnd w:id="1"/>
      <w:tr w:rsidR="004436D3" w:rsidRPr="007C4AB5" w14:paraId="3C495994" w14:textId="77777777" w:rsidTr="00AC3150">
        <w:tc>
          <w:tcPr>
            <w:tcW w:w="720" w:type="dxa"/>
            <w:shd w:val="clear" w:color="auto" w:fill="DBE5F1" w:themeFill="accent1" w:themeFillTint="33"/>
          </w:tcPr>
          <w:p w14:paraId="3ED824AC" w14:textId="77777777" w:rsidR="004436D3" w:rsidRPr="007C4AB5" w:rsidRDefault="004436D3" w:rsidP="00F61E1E">
            <w:pPr>
              <w:spacing w:before="120" w:after="120"/>
              <w:jc w:val="both"/>
              <w:rPr>
                <w:rFonts w:cs="Arial"/>
                <w:b/>
                <w:bCs/>
                <w:sz w:val="20"/>
              </w:rPr>
            </w:pPr>
            <w:r w:rsidRPr="007C4AB5">
              <w:rPr>
                <w:rFonts w:cs="Arial"/>
                <w:b/>
                <w:bCs/>
                <w:sz w:val="20"/>
              </w:rPr>
              <w:t>Q1</w:t>
            </w:r>
          </w:p>
        </w:tc>
        <w:tc>
          <w:tcPr>
            <w:tcW w:w="1710" w:type="dxa"/>
            <w:shd w:val="clear" w:color="auto" w:fill="DBE5F1" w:themeFill="accent1" w:themeFillTint="33"/>
          </w:tcPr>
          <w:p w14:paraId="0503A3D8" w14:textId="77777777" w:rsidR="004436D3" w:rsidRPr="007C4AB5" w:rsidRDefault="004436D3" w:rsidP="00F61E1E">
            <w:pPr>
              <w:spacing w:before="120" w:after="120"/>
              <w:jc w:val="both"/>
              <w:rPr>
                <w:rFonts w:cs="Arial"/>
                <w:b/>
                <w:bCs/>
                <w:sz w:val="20"/>
              </w:rPr>
            </w:pPr>
            <w:r w:rsidRPr="007C4AB5">
              <w:rPr>
                <w:rFonts w:cs="Arial"/>
                <w:b/>
                <w:bCs/>
                <w:sz w:val="20"/>
              </w:rPr>
              <w:t>Appendix 7, #10</w:t>
            </w:r>
          </w:p>
        </w:tc>
        <w:tc>
          <w:tcPr>
            <w:tcW w:w="1710" w:type="dxa"/>
            <w:shd w:val="clear" w:color="auto" w:fill="DBE5F1" w:themeFill="accent1" w:themeFillTint="33"/>
          </w:tcPr>
          <w:p w14:paraId="77B14246" w14:textId="77777777" w:rsidR="004436D3" w:rsidRPr="007C4AB5" w:rsidRDefault="004436D3" w:rsidP="00F61E1E">
            <w:pPr>
              <w:spacing w:before="120" w:after="120"/>
              <w:jc w:val="both"/>
              <w:rPr>
                <w:rFonts w:cs="Arial"/>
                <w:b/>
                <w:bCs/>
                <w:sz w:val="20"/>
              </w:rPr>
            </w:pPr>
            <w:r w:rsidRPr="007C4AB5">
              <w:rPr>
                <w:rFonts w:cs="Arial"/>
                <w:b/>
                <w:bCs/>
                <w:sz w:val="20"/>
              </w:rPr>
              <w:t>2 of 28</w:t>
            </w:r>
          </w:p>
        </w:tc>
        <w:tc>
          <w:tcPr>
            <w:tcW w:w="3420" w:type="dxa"/>
            <w:shd w:val="clear" w:color="auto" w:fill="DBE5F1" w:themeFill="accent1" w:themeFillTint="33"/>
          </w:tcPr>
          <w:p w14:paraId="66486918" w14:textId="77777777" w:rsidR="004436D3" w:rsidRPr="007C4AB5" w:rsidRDefault="004436D3" w:rsidP="005B6FF8">
            <w:pPr>
              <w:pStyle w:val="ListParagraph"/>
              <w:numPr>
                <w:ilvl w:val="0"/>
                <w:numId w:val="8"/>
              </w:numPr>
              <w:spacing w:after="160"/>
              <w:rPr>
                <w:rFonts w:eastAsia="Calibri" w:cs="Arial"/>
                <w:b/>
                <w:bCs/>
                <w:sz w:val="20"/>
              </w:rPr>
            </w:pPr>
            <w:r w:rsidRPr="007C4AB5">
              <w:rPr>
                <w:rFonts w:eastAsia="Calibri" w:cs="Arial"/>
                <w:b/>
                <w:bCs/>
                <w:sz w:val="20"/>
              </w:rPr>
              <w:t xml:space="preserve">How is multi-lingual content presently managed? </w:t>
            </w:r>
          </w:p>
          <w:p w14:paraId="02F4ACB1" w14:textId="77777777" w:rsidR="004436D3" w:rsidRPr="007C4AB5" w:rsidRDefault="004436D3" w:rsidP="005B6FF8">
            <w:pPr>
              <w:pStyle w:val="ListParagraph"/>
              <w:numPr>
                <w:ilvl w:val="0"/>
                <w:numId w:val="8"/>
              </w:numPr>
              <w:spacing w:after="160"/>
              <w:rPr>
                <w:rFonts w:eastAsia="Calibri" w:cs="Arial"/>
                <w:b/>
                <w:bCs/>
                <w:sz w:val="20"/>
              </w:rPr>
            </w:pPr>
            <w:r w:rsidRPr="007C4AB5">
              <w:rPr>
                <w:rFonts w:eastAsia="Calibri" w:cs="Arial"/>
                <w:b/>
                <w:bCs/>
                <w:sz w:val="20"/>
              </w:rPr>
              <w:t>Which language(s) are presently supported in as alternatives to English?</w:t>
            </w:r>
          </w:p>
          <w:p w14:paraId="7F91B626" w14:textId="77777777" w:rsidR="004436D3" w:rsidRPr="007C4AB5" w:rsidRDefault="004436D3" w:rsidP="005B6FF8">
            <w:pPr>
              <w:pStyle w:val="ListParagraph"/>
              <w:numPr>
                <w:ilvl w:val="0"/>
                <w:numId w:val="8"/>
              </w:numPr>
              <w:spacing w:before="120" w:after="120"/>
              <w:rPr>
                <w:rFonts w:cs="Arial"/>
                <w:b/>
                <w:bCs/>
                <w:sz w:val="20"/>
              </w:rPr>
            </w:pPr>
            <w:r w:rsidRPr="007C4AB5">
              <w:rPr>
                <w:rFonts w:eastAsia="Calibri" w:cs="Arial"/>
                <w:b/>
                <w:bCs/>
                <w:sz w:val="20"/>
              </w:rPr>
              <w:t>What document type(s) relative to COBRA or premium billing administration presently support multi-lingual content?</w:t>
            </w:r>
          </w:p>
        </w:tc>
        <w:tc>
          <w:tcPr>
            <w:tcW w:w="5490" w:type="dxa"/>
            <w:shd w:val="clear" w:color="auto" w:fill="DBE5F1" w:themeFill="accent1" w:themeFillTint="33"/>
          </w:tcPr>
          <w:p w14:paraId="76B40CD3" w14:textId="4CAC65C5" w:rsidR="004436D3" w:rsidRPr="007C4AB5" w:rsidRDefault="004436D3" w:rsidP="00F61E1E">
            <w:pPr>
              <w:spacing w:before="120" w:after="120"/>
              <w:rPr>
                <w:rFonts w:cs="Arial"/>
                <w:b/>
                <w:bCs/>
                <w:sz w:val="20"/>
              </w:rPr>
            </w:pPr>
            <w:r w:rsidRPr="007C4AB5">
              <w:rPr>
                <w:rFonts w:cs="Arial"/>
                <w:b/>
                <w:bCs/>
                <w:sz w:val="20"/>
              </w:rPr>
              <w:t>ETF does not currently have the capability to offer multi-lingual content for printed or online documents, but we are interested in any such capabilities the Proposer’s system offers.</w:t>
            </w:r>
          </w:p>
          <w:p w14:paraId="655D13B9" w14:textId="77777777" w:rsidR="004436D3" w:rsidRPr="007C4AB5" w:rsidRDefault="004436D3" w:rsidP="00F61E1E">
            <w:pPr>
              <w:spacing w:before="120" w:after="120"/>
              <w:rPr>
                <w:rFonts w:cs="Arial"/>
                <w:b/>
                <w:bCs/>
                <w:sz w:val="20"/>
              </w:rPr>
            </w:pPr>
            <w:r w:rsidRPr="007C4AB5">
              <w:rPr>
                <w:rFonts w:cs="Arial"/>
                <w:b/>
                <w:bCs/>
                <w:sz w:val="20"/>
              </w:rPr>
              <w:t xml:space="preserve">The top alternative languages for Wisconsin are: </w:t>
            </w:r>
          </w:p>
          <w:p w14:paraId="23CE154E" w14:textId="77777777"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Braille</w:t>
            </w:r>
          </w:p>
          <w:p w14:paraId="131BA272" w14:textId="77777777"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Spanish</w:t>
            </w:r>
          </w:p>
          <w:p w14:paraId="2B7428A1" w14:textId="77777777"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Hmong</w:t>
            </w:r>
          </w:p>
          <w:p w14:paraId="358335A4" w14:textId="77777777"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Chinese</w:t>
            </w:r>
          </w:p>
          <w:p w14:paraId="0AEC979E" w14:textId="057F4D6C"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German</w:t>
            </w:r>
          </w:p>
          <w:p w14:paraId="7FC9DDA8" w14:textId="2411987D"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Arabic</w:t>
            </w:r>
          </w:p>
          <w:p w14:paraId="5213BBF1" w14:textId="61197E60"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Russian</w:t>
            </w:r>
          </w:p>
          <w:p w14:paraId="2A120B1C" w14:textId="1C10631D"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Korean</w:t>
            </w:r>
          </w:p>
          <w:p w14:paraId="3BB70303" w14:textId="286A3195"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Vietnamese</w:t>
            </w:r>
          </w:p>
          <w:p w14:paraId="0CFCFBA5" w14:textId="5B63F9C1"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Pennsylvania Dutch</w:t>
            </w:r>
          </w:p>
          <w:p w14:paraId="25713DA7" w14:textId="4CBCBFC5"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Laotian</w:t>
            </w:r>
          </w:p>
          <w:p w14:paraId="0015B6B9" w14:textId="1652B640"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French</w:t>
            </w:r>
          </w:p>
          <w:p w14:paraId="7E2674F0" w14:textId="360FF1ED"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Polish</w:t>
            </w:r>
          </w:p>
          <w:p w14:paraId="1CC0F2CE" w14:textId="052905E1"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Hindi</w:t>
            </w:r>
          </w:p>
          <w:p w14:paraId="11D33DB7" w14:textId="0673D74B" w:rsidR="004436D3" w:rsidRPr="007C4AB5" w:rsidRDefault="004436D3" w:rsidP="007C4AB5">
            <w:pPr>
              <w:pStyle w:val="ListParagraph"/>
              <w:numPr>
                <w:ilvl w:val="0"/>
                <w:numId w:val="18"/>
              </w:numPr>
              <w:spacing w:before="120" w:after="120"/>
              <w:rPr>
                <w:rFonts w:cs="Arial"/>
                <w:b/>
                <w:bCs/>
                <w:sz w:val="20"/>
              </w:rPr>
            </w:pPr>
            <w:r w:rsidRPr="007C4AB5">
              <w:rPr>
                <w:rFonts w:cs="Arial"/>
                <w:b/>
                <w:bCs/>
                <w:sz w:val="20"/>
              </w:rPr>
              <w:t>Albanian</w:t>
            </w:r>
          </w:p>
          <w:p w14:paraId="1405C453" w14:textId="2C97A2EF" w:rsidR="004436D3" w:rsidRPr="00270665" w:rsidRDefault="004436D3" w:rsidP="00F61E1E">
            <w:pPr>
              <w:pStyle w:val="ListParagraph"/>
              <w:numPr>
                <w:ilvl w:val="0"/>
                <w:numId w:val="18"/>
              </w:numPr>
              <w:spacing w:before="120" w:after="120"/>
              <w:rPr>
                <w:rFonts w:cs="Arial"/>
                <w:b/>
                <w:bCs/>
                <w:sz w:val="20"/>
              </w:rPr>
            </w:pPr>
            <w:r w:rsidRPr="007C4AB5">
              <w:rPr>
                <w:rFonts w:cs="Arial"/>
                <w:b/>
                <w:bCs/>
                <w:sz w:val="20"/>
              </w:rPr>
              <w:t>Tagalog</w:t>
            </w:r>
          </w:p>
        </w:tc>
      </w:tr>
      <w:tr w:rsidR="004436D3" w:rsidRPr="00741EE5" w14:paraId="78F2CADA" w14:textId="77777777" w:rsidTr="00AC3150">
        <w:tc>
          <w:tcPr>
            <w:tcW w:w="720" w:type="dxa"/>
            <w:shd w:val="clear" w:color="auto" w:fill="EEECE1" w:themeFill="background2"/>
          </w:tcPr>
          <w:p w14:paraId="64FE49CC" w14:textId="77777777" w:rsidR="004436D3" w:rsidRPr="00741EE5" w:rsidRDefault="004436D3" w:rsidP="00F61E1E">
            <w:pPr>
              <w:spacing w:before="120" w:after="120"/>
              <w:jc w:val="both"/>
              <w:rPr>
                <w:rFonts w:cs="Arial"/>
                <w:b/>
                <w:bCs/>
                <w:sz w:val="20"/>
              </w:rPr>
            </w:pPr>
            <w:r w:rsidRPr="00741EE5">
              <w:rPr>
                <w:rFonts w:cs="Arial"/>
                <w:b/>
                <w:bCs/>
                <w:sz w:val="20"/>
              </w:rPr>
              <w:t>Q2</w:t>
            </w:r>
          </w:p>
        </w:tc>
        <w:tc>
          <w:tcPr>
            <w:tcW w:w="1710" w:type="dxa"/>
            <w:shd w:val="clear" w:color="auto" w:fill="EEECE1" w:themeFill="background2"/>
          </w:tcPr>
          <w:p w14:paraId="0A61F872" w14:textId="77777777" w:rsidR="004436D3" w:rsidRPr="00741EE5" w:rsidRDefault="004436D3" w:rsidP="00F61E1E">
            <w:pPr>
              <w:spacing w:before="120" w:after="120"/>
              <w:jc w:val="both"/>
              <w:rPr>
                <w:rFonts w:cs="Arial"/>
                <w:b/>
                <w:bCs/>
                <w:sz w:val="20"/>
              </w:rPr>
            </w:pPr>
            <w:r w:rsidRPr="00741EE5">
              <w:rPr>
                <w:rFonts w:cs="Arial"/>
                <w:b/>
                <w:bCs/>
                <w:sz w:val="20"/>
              </w:rPr>
              <w:t>Appendix 7, #13</w:t>
            </w:r>
          </w:p>
        </w:tc>
        <w:tc>
          <w:tcPr>
            <w:tcW w:w="1710" w:type="dxa"/>
            <w:shd w:val="clear" w:color="auto" w:fill="EEECE1" w:themeFill="background2"/>
          </w:tcPr>
          <w:p w14:paraId="6B84DF04" w14:textId="77777777" w:rsidR="004436D3" w:rsidRPr="00741EE5" w:rsidRDefault="004436D3" w:rsidP="00F61E1E">
            <w:pPr>
              <w:spacing w:before="120" w:after="120"/>
              <w:jc w:val="both"/>
              <w:rPr>
                <w:rFonts w:cs="Arial"/>
                <w:b/>
                <w:bCs/>
                <w:sz w:val="20"/>
              </w:rPr>
            </w:pPr>
            <w:r w:rsidRPr="00741EE5">
              <w:rPr>
                <w:rFonts w:cs="Arial"/>
                <w:b/>
                <w:bCs/>
                <w:sz w:val="20"/>
              </w:rPr>
              <w:t>2 of 28</w:t>
            </w:r>
          </w:p>
        </w:tc>
        <w:tc>
          <w:tcPr>
            <w:tcW w:w="3420" w:type="dxa"/>
            <w:shd w:val="clear" w:color="auto" w:fill="EEECE1" w:themeFill="background2"/>
          </w:tcPr>
          <w:p w14:paraId="636C7FBB" w14:textId="77777777" w:rsidR="004436D3" w:rsidRPr="00741EE5" w:rsidRDefault="004436D3" w:rsidP="00F61E1E">
            <w:pPr>
              <w:spacing w:before="120" w:after="120"/>
              <w:rPr>
                <w:rFonts w:cs="Arial"/>
                <w:b/>
                <w:bCs/>
                <w:sz w:val="20"/>
              </w:rPr>
            </w:pPr>
            <w:r w:rsidRPr="00741EE5">
              <w:rPr>
                <w:rFonts w:cs="Arial"/>
                <w:b/>
                <w:bCs/>
                <w:sz w:val="20"/>
              </w:rPr>
              <w:t>Please describe typical use case for this functionality.</w:t>
            </w:r>
          </w:p>
        </w:tc>
        <w:tc>
          <w:tcPr>
            <w:tcW w:w="5490" w:type="dxa"/>
            <w:shd w:val="clear" w:color="auto" w:fill="EEECE1" w:themeFill="background2"/>
          </w:tcPr>
          <w:p w14:paraId="6861F2C8" w14:textId="22A3CEF9" w:rsidR="004436D3" w:rsidRDefault="004436D3" w:rsidP="00F61E1E">
            <w:pPr>
              <w:spacing w:before="120" w:after="120"/>
              <w:rPr>
                <w:rFonts w:cs="Arial"/>
                <w:b/>
                <w:bCs/>
                <w:sz w:val="20"/>
              </w:rPr>
            </w:pPr>
            <w:r w:rsidRPr="00741EE5">
              <w:rPr>
                <w:rFonts w:cs="Arial"/>
                <w:b/>
                <w:bCs/>
                <w:sz w:val="20"/>
              </w:rPr>
              <w:t>ETF currently has only a few fillable Word documents available. We do not currently have functionality for fillable web forms</w:t>
            </w:r>
            <w:r>
              <w:rPr>
                <w:rFonts w:cs="Arial"/>
                <w:b/>
                <w:bCs/>
                <w:sz w:val="20"/>
              </w:rPr>
              <w:t xml:space="preserve"> or P</w:t>
            </w:r>
            <w:r w:rsidRPr="00741EE5">
              <w:rPr>
                <w:rFonts w:cs="Arial"/>
                <w:b/>
                <w:bCs/>
                <w:sz w:val="20"/>
              </w:rPr>
              <w:t xml:space="preserve">DFs, auto-population of key account data, or any other such capabilities as described in Appendix 7, question </w:t>
            </w:r>
            <w:r>
              <w:rPr>
                <w:rFonts w:cs="Arial"/>
                <w:b/>
                <w:bCs/>
                <w:sz w:val="20"/>
              </w:rPr>
              <w:t>Q</w:t>
            </w:r>
            <w:r w:rsidRPr="00741EE5">
              <w:rPr>
                <w:rFonts w:cs="Arial"/>
                <w:b/>
                <w:bCs/>
                <w:sz w:val="20"/>
              </w:rPr>
              <w:t xml:space="preserve">13. However, we are interested in any capabilities the Proposer’s system offers in this area. </w:t>
            </w:r>
          </w:p>
          <w:p w14:paraId="546D1CB2" w14:textId="6272DE41" w:rsidR="004436D3" w:rsidRPr="00741EE5" w:rsidRDefault="004436D3" w:rsidP="00F61E1E">
            <w:pPr>
              <w:spacing w:before="120" w:after="120"/>
              <w:rPr>
                <w:rFonts w:cs="Arial"/>
                <w:b/>
                <w:bCs/>
                <w:sz w:val="20"/>
              </w:rPr>
            </w:pPr>
            <w:r w:rsidRPr="009131C6">
              <w:rPr>
                <w:rFonts w:cs="Arial"/>
                <w:b/>
                <w:bCs/>
                <w:sz w:val="20"/>
              </w:rPr>
              <w:t>Any insurance-related form</w:t>
            </w:r>
            <w:r>
              <w:rPr>
                <w:rFonts w:cs="Arial"/>
                <w:b/>
                <w:bCs/>
                <w:sz w:val="20"/>
              </w:rPr>
              <w:t xml:space="preserve"> (e.g., application, beneficiary designation, etc.)</w:t>
            </w:r>
            <w:r w:rsidRPr="009131C6">
              <w:rPr>
                <w:rFonts w:cs="Arial"/>
                <w:b/>
                <w:bCs/>
                <w:sz w:val="20"/>
              </w:rPr>
              <w:t xml:space="preserve"> </w:t>
            </w:r>
            <w:r>
              <w:rPr>
                <w:rFonts w:cs="Arial"/>
                <w:b/>
                <w:bCs/>
                <w:sz w:val="20"/>
              </w:rPr>
              <w:t xml:space="preserve">that a customer might </w:t>
            </w:r>
            <w:r>
              <w:rPr>
                <w:rFonts w:cs="Arial"/>
                <w:b/>
                <w:bCs/>
                <w:sz w:val="20"/>
              </w:rPr>
              <w:lastRenderedPageBreak/>
              <w:t xml:space="preserve">need to complete </w:t>
            </w:r>
            <w:r w:rsidRPr="009131C6">
              <w:rPr>
                <w:rFonts w:cs="Arial"/>
                <w:b/>
                <w:bCs/>
                <w:sz w:val="20"/>
              </w:rPr>
              <w:t xml:space="preserve">is a potential candidate for </w:t>
            </w:r>
            <w:r>
              <w:rPr>
                <w:rFonts w:cs="Arial"/>
                <w:b/>
                <w:bCs/>
                <w:sz w:val="20"/>
              </w:rPr>
              <w:t>availability via eForm capabilities.</w:t>
            </w:r>
          </w:p>
        </w:tc>
      </w:tr>
      <w:tr w:rsidR="004436D3" w:rsidRPr="00B74694" w14:paraId="7D8D1068" w14:textId="77777777" w:rsidTr="00AC3150">
        <w:tc>
          <w:tcPr>
            <w:tcW w:w="720" w:type="dxa"/>
            <w:shd w:val="clear" w:color="auto" w:fill="DBE5F1" w:themeFill="accent1" w:themeFillTint="33"/>
          </w:tcPr>
          <w:p w14:paraId="155D0682" w14:textId="6F1F8757" w:rsidR="004436D3" w:rsidRPr="00CF0F6D" w:rsidRDefault="004436D3" w:rsidP="00F61E1E">
            <w:pPr>
              <w:spacing w:before="120" w:after="120"/>
              <w:jc w:val="both"/>
              <w:rPr>
                <w:rFonts w:cs="Arial"/>
                <w:b/>
                <w:bCs/>
                <w:sz w:val="20"/>
              </w:rPr>
            </w:pPr>
            <w:r w:rsidRPr="00CF0F6D">
              <w:rPr>
                <w:rFonts w:cs="Arial"/>
                <w:b/>
                <w:bCs/>
                <w:sz w:val="20"/>
              </w:rPr>
              <w:lastRenderedPageBreak/>
              <w:t>Q3</w:t>
            </w:r>
          </w:p>
        </w:tc>
        <w:tc>
          <w:tcPr>
            <w:tcW w:w="1710" w:type="dxa"/>
            <w:shd w:val="clear" w:color="auto" w:fill="DBE5F1" w:themeFill="accent1" w:themeFillTint="33"/>
          </w:tcPr>
          <w:p w14:paraId="2CCF5FB3" w14:textId="77777777" w:rsidR="004436D3" w:rsidRPr="00CF0F6D" w:rsidRDefault="004436D3" w:rsidP="00F61E1E">
            <w:pPr>
              <w:spacing w:before="120" w:after="120"/>
              <w:jc w:val="both"/>
              <w:rPr>
                <w:rFonts w:cs="Arial"/>
                <w:b/>
                <w:bCs/>
                <w:sz w:val="20"/>
              </w:rPr>
            </w:pPr>
            <w:r w:rsidRPr="00CF0F6D">
              <w:rPr>
                <w:rFonts w:cs="Arial"/>
                <w:b/>
                <w:bCs/>
                <w:sz w:val="20"/>
              </w:rPr>
              <w:t>Appendix 7, #14</w:t>
            </w:r>
          </w:p>
        </w:tc>
        <w:tc>
          <w:tcPr>
            <w:tcW w:w="1710" w:type="dxa"/>
            <w:shd w:val="clear" w:color="auto" w:fill="DBE5F1" w:themeFill="accent1" w:themeFillTint="33"/>
          </w:tcPr>
          <w:p w14:paraId="2A9731E4" w14:textId="77777777" w:rsidR="004436D3" w:rsidRPr="00CF0F6D" w:rsidRDefault="004436D3" w:rsidP="00F61E1E">
            <w:pPr>
              <w:spacing w:before="120" w:after="120"/>
              <w:jc w:val="both"/>
              <w:rPr>
                <w:rFonts w:cs="Arial"/>
                <w:b/>
                <w:bCs/>
                <w:sz w:val="20"/>
              </w:rPr>
            </w:pPr>
            <w:r w:rsidRPr="00CF0F6D">
              <w:rPr>
                <w:rFonts w:cs="Arial"/>
                <w:b/>
                <w:bCs/>
                <w:sz w:val="20"/>
              </w:rPr>
              <w:t>2 of 28</w:t>
            </w:r>
          </w:p>
        </w:tc>
        <w:tc>
          <w:tcPr>
            <w:tcW w:w="3420" w:type="dxa"/>
            <w:shd w:val="clear" w:color="auto" w:fill="DBE5F1" w:themeFill="accent1" w:themeFillTint="33"/>
          </w:tcPr>
          <w:p w14:paraId="0561C5D5" w14:textId="77777777" w:rsidR="004436D3" w:rsidRPr="00CF0F6D" w:rsidRDefault="004436D3" w:rsidP="00B74694">
            <w:pPr>
              <w:spacing w:before="120" w:after="120"/>
              <w:jc w:val="both"/>
              <w:rPr>
                <w:rFonts w:cs="Arial"/>
                <w:b/>
                <w:bCs/>
                <w:sz w:val="20"/>
              </w:rPr>
            </w:pPr>
            <w:r w:rsidRPr="00CF0F6D">
              <w:rPr>
                <w:rFonts w:cs="Arial"/>
                <w:b/>
                <w:bCs/>
                <w:sz w:val="20"/>
              </w:rPr>
              <w:t>Please describe what this process looks like today (e.g., individual versus .zip batch file exchange, etc.).</w:t>
            </w:r>
          </w:p>
        </w:tc>
        <w:tc>
          <w:tcPr>
            <w:tcW w:w="5490" w:type="dxa"/>
            <w:shd w:val="clear" w:color="auto" w:fill="DBE5F1" w:themeFill="accent1" w:themeFillTint="33"/>
          </w:tcPr>
          <w:p w14:paraId="12EF333B" w14:textId="177623BE" w:rsidR="004436D3" w:rsidRPr="00CF0F6D" w:rsidRDefault="004436D3" w:rsidP="00B74694">
            <w:pPr>
              <w:spacing w:before="120" w:after="120"/>
              <w:jc w:val="both"/>
              <w:rPr>
                <w:rFonts w:cs="Arial"/>
                <w:b/>
                <w:bCs/>
                <w:sz w:val="20"/>
              </w:rPr>
            </w:pPr>
            <w:r w:rsidRPr="00CF0F6D">
              <w:rPr>
                <w:rFonts w:cs="Arial"/>
                <w:b/>
                <w:bCs/>
                <w:sz w:val="20"/>
              </w:rPr>
              <w:t xml:space="preserve">ETF does not currently have this functionality today, but we are interested in any capabilities the Proposer’s system offers in this area. </w:t>
            </w:r>
          </w:p>
        </w:tc>
      </w:tr>
      <w:tr w:rsidR="004436D3" w:rsidRPr="009131C6" w14:paraId="76D9A384" w14:textId="77777777" w:rsidTr="00AC3150">
        <w:tc>
          <w:tcPr>
            <w:tcW w:w="720" w:type="dxa"/>
            <w:shd w:val="clear" w:color="auto" w:fill="EEECE1" w:themeFill="background2"/>
          </w:tcPr>
          <w:p w14:paraId="27BB6BE8" w14:textId="77777777" w:rsidR="004436D3" w:rsidRPr="009131C6" w:rsidRDefault="004436D3" w:rsidP="00F61E1E">
            <w:pPr>
              <w:spacing w:before="120" w:after="120"/>
              <w:jc w:val="both"/>
              <w:rPr>
                <w:rFonts w:cs="Arial"/>
                <w:b/>
                <w:bCs/>
                <w:sz w:val="20"/>
              </w:rPr>
            </w:pPr>
            <w:r w:rsidRPr="009131C6">
              <w:rPr>
                <w:rFonts w:cs="Arial"/>
                <w:b/>
                <w:bCs/>
                <w:sz w:val="20"/>
              </w:rPr>
              <w:t>Q4</w:t>
            </w:r>
          </w:p>
        </w:tc>
        <w:tc>
          <w:tcPr>
            <w:tcW w:w="1710" w:type="dxa"/>
            <w:shd w:val="clear" w:color="auto" w:fill="EEECE1" w:themeFill="background2"/>
          </w:tcPr>
          <w:p w14:paraId="5C275C27" w14:textId="77777777" w:rsidR="004436D3" w:rsidRPr="009131C6" w:rsidRDefault="004436D3" w:rsidP="00F61E1E">
            <w:pPr>
              <w:spacing w:before="120" w:after="120"/>
              <w:jc w:val="both"/>
              <w:rPr>
                <w:rFonts w:cs="Arial"/>
                <w:b/>
                <w:bCs/>
                <w:sz w:val="20"/>
              </w:rPr>
            </w:pPr>
            <w:r w:rsidRPr="009131C6">
              <w:rPr>
                <w:rFonts w:cs="Arial"/>
                <w:b/>
                <w:bCs/>
                <w:sz w:val="20"/>
              </w:rPr>
              <w:t>Appendix 7, #17</w:t>
            </w:r>
          </w:p>
        </w:tc>
        <w:tc>
          <w:tcPr>
            <w:tcW w:w="1710" w:type="dxa"/>
            <w:shd w:val="clear" w:color="auto" w:fill="EEECE1" w:themeFill="background2"/>
          </w:tcPr>
          <w:p w14:paraId="6D0718D6" w14:textId="77777777" w:rsidR="004436D3" w:rsidRPr="009131C6" w:rsidRDefault="004436D3" w:rsidP="00F61E1E">
            <w:pPr>
              <w:spacing w:before="120" w:after="120"/>
              <w:jc w:val="both"/>
              <w:rPr>
                <w:rFonts w:cs="Arial"/>
                <w:b/>
                <w:bCs/>
                <w:sz w:val="20"/>
              </w:rPr>
            </w:pPr>
            <w:r w:rsidRPr="009131C6">
              <w:rPr>
                <w:rFonts w:cs="Arial"/>
                <w:b/>
                <w:bCs/>
                <w:sz w:val="20"/>
              </w:rPr>
              <w:t>2 of 28</w:t>
            </w:r>
          </w:p>
        </w:tc>
        <w:tc>
          <w:tcPr>
            <w:tcW w:w="3420" w:type="dxa"/>
            <w:shd w:val="clear" w:color="auto" w:fill="EEECE1" w:themeFill="background2"/>
          </w:tcPr>
          <w:p w14:paraId="4450AD52" w14:textId="77777777" w:rsidR="004436D3" w:rsidRPr="009131C6" w:rsidRDefault="004436D3" w:rsidP="00F61E1E">
            <w:pPr>
              <w:spacing w:before="120" w:after="120"/>
              <w:rPr>
                <w:rFonts w:cs="Arial"/>
                <w:b/>
                <w:bCs/>
                <w:sz w:val="20"/>
              </w:rPr>
            </w:pPr>
            <w:r w:rsidRPr="009131C6">
              <w:rPr>
                <w:rFonts w:cs="Arial"/>
                <w:b/>
                <w:bCs/>
                <w:sz w:val="20"/>
              </w:rPr>
              <w:t>Please describe the type(s) of form(s) to which e-signature processing would apply.</w:t>
            </w:r>
          </w:p>
        </w:tc>
        <w:tc>
          <w:tcPr>
            <w:tcW w:w="5490" w:type="dxa"/>
            <w:shd w:val="clear" w:color="auto" w:fill="EEECE1" w:themeFill="background2"/>
          </w:tcPr>
          <w:p w14:paraId="66160C10" w14:textId="2A45EAEB" w:rsidR="004436D3" w:rsidRPr="009131C6" w:rsidRDefault="004436D3" w:rsidP="00F61E1E">
            <w:pPr>
              <w:spacing w:before="120" w:after="120"/>
              <w:rPr>
                <w:rFonts w:cs="Arial"/>
                <w:b/>
                <w:bCs/>
                <w:sz w:val="20"/>
              </w:rPr>
            </w:pPr>
            <w:r w:rsidRPr="009131C6">
              <w:rPr>
                <w:rFonts w:cs="Arial"/>
                <w:b/>
                <w:bCs/>
                <w:sz w:val="20"/>
              </w:rPr>
              <w:t>ETF does not currently have this functionality today, but we are interested in any capabilities the Proposer’s system offers related to digital signatures. Any insurance-related form</w:t>
            </w:r>
            <w:r>
              <w:rPr>
                <w:rFonts w:cs="Arial"/>
                <w:b/>
                <w:bCs/>
                <w:sz w:val="20"/>
              </w:rPr>
              <w:t xml:space="preserve"> (e.g., application, beneficiary designation, etc.)</w:t>
            </w:r>
            <w:r w:rsidRPr="009131C6">
              <w:rPr>
                <w:rFonts w:cs="Arial"/>
                <w:b/>
                <w:bCs/>
                <w:sz w:val="20"/>
              </w:rPr>
              <w:t xml:space="preserve"> that, if a paper copy were used, would require a signature is a potential candidate for e-signature processing.</w:t>
            </w:r>
          </w:p>
        </w:tc>
      </w:tr>
      <w:tr w:rsidR="004436D3" w:rsidRPr="00411B6B" w14:paraId="65FE66EC" w14:textId="77777777" w:rsidTr="00AC3150">
        <w:tc>
          <w:tcPr>
            <w:tcW w:w="720" w:type="dxa"/>
            <w:shd w:val="clear" w:color="auto" w:fill="DBE5F1" w:themeFill="accent1" w:themeFillTint="33"/>
          </w:tcPr>
          <w:p w14:paraId="1662F9C3" w14:textId="77777777" w:rsidR="004436D3" w:rsidRPr="00411B6B" w:rsidRDefault="004436D3" w:rsidP="00F61E1E">
            <w:pPr>
              <w:spacing w:before="120" w:after="120"/>
              <w:jc w:val="both"/>
              <w:rPr>
                <w:rFonts w:cs="Arial"/>
                <w:b/>
                <w:bCs/>
                <w:sz w:val="20"/>
              </w:rPr>
            </w:pPr>
            <w:r w:rsidRPr="00411B6B">
              <w:rPr>
                <w:rFonts w:cs="Arial"/>
                <w:b/>
                <w:bCs/>
                <w:sz w:val="20"/>
              </w:rPr>
              <w:t>Q5</w:t>
            </w:r>
          </w:p>
        </w:tc>
        <w:tc>
          <w:tcPr>
            <w:tcW w:w="1710" w:type="dxa"/>
            <w:shd w:val="clear" w:color="auto" w:fill="DBE5F1" w:themeFill="accent1" w:themeFillTint="33"/>
          </w:tcPr>
          <w:p w14:paraId="6E147C96" w14:textId="77777777" w:rsidR="004436D3" w:rsidRPr="00411B6B" w:rsidRDefault="004436D3" w:rsidP="00F61E1E">
            <w:pPr>
              <w:spacing w:before="120" w:after="120"/>
              <w:jc w:val="both"/>
              <w:rPr>
                <w:rFonts w:cs="Arial"/>
                <w:b/>
                <w:bCs/>
                <w:sz w:val="20"/>
              </w:rPr>
            </w:pPr>
            <w:r w:rsidRPr="00411B6B">
              <w:rPr>
                <w:rFonts w:cs="Arial"/>
                <w:b/>
                <w:bCs/>
                <w:sz w:val="20"/>
              </w:rPr>
              <w:t>Appendix 7, #24</w:t>
            </w:r>
          </w:p>
        </w:tc>
        <w:tc>
          <w:tcPr>
            <w:tcW w:w="1710" w:type="dxa"/>
            <w:shd w:val="clear" w:color="auto" w:fill="DBE5F1" w:themeFill="accent1" w:themeFillTint="33"/>
          </w:tcPr>
          <w:p w14:paraId="22FC8306" w14:textId="77777777" w:rsidR="004436D3" w:rsidRPr="00411B6B" w:rsidRDefault="004436D3" w:rsidP="00F61E1E">
            <w:pPr>
              <w:spacing w:before="120" w:after="120"/>
              <w:jc w:val="both"/>
              <w:rPr>
                <w:rFonts w:cs="Arial"/>
                <w:b/>
                <w:bCs/>
                <w:sz w:val="20"/>
              </w:rPr>
            </w:pPr>
            <w:r w:rsidRPr="00411B6B">
              <w:rPr>
                <w:rFonts w:cs="Arial"/>
                <w:b/>
                <w:bCs/>
                <w:sz w:val="20"/>
              </w:rPr>
              <w:t>3 of 28</w:t>
            </w:r>
          </w:p>
        </w:tc>
        <w:tc>
          <w:tcPr>
            <w:tcW w:w="3420" w:type="dxa"/>
            <w:shd w:val="clear" w:color="auto" w:fill="DBE5F1" w:themeFill="accent1" w:themeFillTint="33"/>
          </w:tcPr>
          <w:p w14:paraId="4C3B52D3" w14:textId="77777777" w:rsidR="004436D3" w:rsidRPr="00411B6B" w:rsidRDefault="004436D3" w:rsidP="00F61E1E">
            <w:pPr>
              <w:spacing w:before="120" w:after="120"/>
              <w:rPr>
                <w:rFonts w:cs="Arial"/>
                <w:b/>
                <w:bCs/>
                <w:sz w:val="20"/>
              </w:rPr>
            </w:pPr>
            <w:r w:rsidRPr="00411B6B">
              <w:rPr>
                <w:rFonts w:cs="Arial"/>
                <w:b/>
                <w:bCs/>
                <w:sz w:val="20"/>
              </w:rPr>
              <w:t>Please describe typical use case for the barcoding functionality.</w:t>
            </w:r>
          </w:p>
        </w:tc>
        <w:tc>
          <w:tcPr>
            <w:tcW w:w="5490" w:type="dxa"/>
            <w:shd w:val="clear" w:color="auto" w:fill="DBE5F1" w:themeFill="accent1" w:themeFillTint="33"/>
          </w:tcPr>
          <w:p w14:paraId="275D4D17" w14:textId="755FB523" w:rsidR="004436D3" w:rsidRPr="00411B6B" w:rsidRDefault="004436D3" w:rsidP="00F61E1E">
            <w:pPr>
              <w:spacing w:before="120" w:after="120"/>
              <w:rPr>
                <w:rFonts w:cs="Arial"/>
                <w:b/>
                <w:bCs/>
                <w:sz w:val="20"/>
              </w:rPr>
            </w:pPr>
            <w:r w:rsidRPr="00411B6B">
              <w:rPr>
                <w:rFonts w:cs="Arial"/>
                <w:b/>
                <w:bCs/>
                <w:sz w:val="20"/>
              </w:rPr>
              <w:t xml:space="preserve">Currently, most ETF forms contain code39 barcodes to limit manual data entry needed when scanning forms into the imaging/workflow system. Due to system limitations, however, only a few forms are populated with member-specific information included in the barcode. </w:t>
            </w:r>
          </w:p>
          <w:p w14:paraId="1AE533BC" w14:textId="5E70F8C5" w:rsidR="004436D3" w:rsidRPr="00411B6B" w:rsidRDefault="004436D3" w:rsidP="00F61E1E">
            <w:pPr>
              <w:spacing w:before="120" w:after="120"/>
              <w:rPr>
                <w:rFonts w:cs="Arial"/>
                <w:b/>
                <w:bCs/>
                <w:sz w:val="20"/>
              </w:rPr>
            </w:pPr>
            <w:r w:rsidRPr="00411B6B">
              <w:rPr>
                <w:rFonts w:cs="Arial"/>
                <w:b/>
                <w:bCs/>
                <w:sz w:val="20"/>
              </w:rPr>
              <w:t xml:space="preserve">We are interested in any functionality the Proposer’s system may offer to modernize these processes and increase efficiency and accuracy through expanded use of barcodes (e.g., 2D barcodes) or capabilities that replace their need altogether.   </w:t>
            </w:r>
          </w:p>
        </w:tc>
      </w:tr>
      <w:tr w:rsidR="004436D3" w:rsidRPr="006705FA" w14:paraId="7B7FC217" w14:textId="77777777" w:rsidTr="00AC3150">
        <w:tc>
          <w:tcPr>
            <w:tcW w:w="720" w:type="dxa"/>
            <w:shd w:val="clear" w:color="auto" w:fill="EEECE1" w:themeFill="background2"/>
          </w:tcPr>
          <w:p w14:paraId="6BBF4B57" w14:textId="77777777" w:rsidR="004436D3" w:rsidRPr="006705FA" w:rsidRDefault="004436D3" w:rsidP="00F61E1E">
            <w:pPr>
              <w:spacing w:before="120" w:after="120"/>
              <w:jc w:val="both"/>
              <w:rPr>
                <w:rFonts w:cs="Arial"/>
                <w:b/>
                <w:bCs/>
                <w:sz w:val="20"/>
              </w:rPr>
            </w:pPr>
            <w:r w:rsidRPr="006705FA">
              <w:rPr>
                <w:rFonts w:cs="Arial"/>
                <w:b/>
                <w:bCs/>
                <w:sz w:val="20"/>
              </w:rPr>
              <w:t>Q6</w:t>
            </w:r>
          </w:p>
        </w:tc>
        <w:tc>
          <w:tcPr>
            <w:tcW w:w="1710" w:type="dxa"/>
            <w:shd w:val="clear" w:color="auto" w:fill="EEECE1" w:themeFill="background2"/>
          </w:tcPr>
          <w:p w14:paraId="24BA401E" w14:textId="77777777" w:rsidR="004436D3" w:rsidRPr="006705FA" w:rsidRDefault="004436D3" w:rsidP="00F61E1E">
            <w:pPr>
              <w:spacing w:before="120" w:after="120"/>
              <w:jc w:val="both"/>
              <w:rPr>
                <w:rFonts w:cs="Arial"/>
                <w:b/>
                <w:bCs/>
                <w:sz w:val="20"/>
              </w:rPr>
            </w:pPr>
            <w:r w:rsidRPr="006705FA">
              <w:rPr>
                <w:rFonts w:cs="Arial"/>
                <w:b/>
                <w:bCs/>
                <w:sz w:val="20"/>
              </w:rPr>
              <w:t>Appendix 7, #28</w:t>
            </w:r>
          </w:p>
        </w:tc>
        <w:tc>
          <w:tcPr>
            <w:tcW w:w="1710" w:type="dxa"/>
            <w:shd w:val="clear" w:color="auto" w:fill="EEECE1" w:themeFill="background2"/>
          </w:tcPr>
          <w:p w14:paraId="183A8DF3" w14:textId="77777777" w:rsidR="004436D3" w:rsidRPr="006705FA" w:rsidRDefault="004436D3" w:rsidP="00F61E1E">
            <w:pPr>
              <w:spacing w:before="120" w:after="120"/>
              <w:jc w:val="both"/>
              <w:rPr>
                <w:rFonts w:cs="Arial"/>
                <w:b/>
                <w:bCs/>
                <w:sz w:val="20"/>
              </w:rPr>
            </w:pPr>
            <w:r w:rsidRPr="006705FA">
              <w:rPr>
                <w:rFonts w:cs="Arial"/>
                <w:b/>
                <w:bCs/>
                <w:sz w:val="20"/>
              </w:rPr>
              <w:t>3 of 28</w:t>
            </w:r>
          </w:p>
        </w:tc>
        <w:tc>
          <w:tcPr>
            <w:tcW w:w="3420" w:type="dxa"/>
            <w:shd w:val="clear" w:color="auto" w:fill="EEECE1" w:themeFill="background2"/>
          </w:tcPr>
          <w:p w14:paraId="19646EF5" w14:textId="77777777" w:rsidR="004436D3" w:rsidRPr="006705FA" w:rsidRDefault="004436D3" w:rsidP="00F61E1E">
            <w:pPr>
              <w:spacing w:before="120" w:after="120"/>
              <w:rPr>
                <w:rFonts w:cs="Arial"/>
                <w:b/>
                <w:bCs/>
                <w:sz w:val="20"/>
              </w:rPr>
            </w:pPr>
            <w:r w:rsidRPr="006705FA">
              <w:rPr>
                <w:rFonts w:cs="Arial"/>
                <w:b/>
                <w:bCs/>
                <w:sz w:val="20"/>
              </w:rPr>
              <w:t>Please describe the types of messaging and widget updates as related to COBRA and/or direct billing administration.</w:t>
            </w:r>
          </w:p>
        </w:tc>
        <w:tc>
          <w:tcPr>
            <w:tcW w:w="5490" w:type="dxa"/>
            <w:shd w:val="clear" w:color="auto" w:fill="EEECE1" w:themeFill="background2"/>
          </w:tcPr>
          <w:p w14:paraId="3D017203" w14:textId="2C7FE02D" w:rsidR="004436D3" w:rsidRPr="006705FA" w:rsidRDefault="004436D3" w:rsidP="00F61E1E">
            <w:pPr>
              <w:spacing w:before="120" w:after="120"/>
              <w:rPr>
                <w:rFonts w:cs="Arial"/>
                <w:b/>
                <w:bCs/>
                <w:sz w:val="20"/>
              </w:rPr>
            </w:pPr>
            <w:r w:rsidRPr="006705FA">
              <w:rPr>
                <w:rFonts w:cs="Arial"/>
                <w:b/>
                <w:bCs/>
                <w:sz w:val="20"/>
              </w:rPr>
              <w:t xml:space="preserve">ETF does not currently have the capabilities to offer customer-specific messaging or portal widget functionality, but we are interested in any such functionality the Proposer’s system may offer </w:t>
            </w:r>
            <w:r>
              <w:rPr>
                <w:rFonts w:cs="Arial"/>
                <w:b/>
                <w:bCs/>
                <w:sz w:val="20"/>
              </w:rPr>
              <w:t xml:space="preserve">in this area </w:t>
            </w:r>
            <w:r w:rsidRPr="006705FA">
              <w:rPr>
                <w:rFonts w:cs="Arial"/>
                <w:b/>
                <w:bCs/>
                <w:sz w:val="20"/>
              </w:rPr>
              <w:t xml:space="preserve">related to insurance </w:t>
            </w:r>
            <w:r>
              <w:rPr>
                <w:rFonts w:cs="Arial"/>
                <w:b/>
                <w:bCs/>
                <w:sz w:val="20"/>
              </w:rPr>
              <w:t xml:space="preserve">administration, </w:t>
            </w:r>
            <w:r w:rsidRPr="006705FA">
              <w:rPr>
                <w:rFonts w:cs="Arial"/>
                <w:b/>
                <w:bCs/>
                <w:sz w:val="20"/>
              </w:rPr>
              <w:t xml:space="preserve">eligibility, enrollment, coverage, premium payments, etc.  </w:t>
            </w:r>
          </w:p>
        </w:tc>
      </w:tr>
      <w:tr w:rsidR="004436D3" w:rsidRPr="0074143D" w14:paraId="01E466F4" w14:textId="77777777" w:rsidTr="00AC3150">
        <w:tc>
          <w:tcPr>
            <w:tcW w:w="720" w:type="dxa"/>
            <w:shd w:val="clear" w:color="auto" w:fill="DBE5F1" w:themeFill="accent1" w:themeFillTint="33"/>
          </w:tcPr>
          <w:p w14:paraId="6F45E6DC" w14:textId="77777777" w:rsidR="004436D3" w:rsidRPr="0074143D" w:rsidRDefault="004436D3" w:rsidP="00F61E1E">
            <w:pPr>
              <w:spacing w:before="120" w:after="120"/>
              <w:jc w:val="both"/>
              <w:rPr>
                <w:rFonts w:cs="Arial"/>
                <w:b/>
                <w:bCs/>
                <w:sz w:val="20"/>
              </w:rPr>
            </w:pPr>
            <w:bookmarkStart w:id="2" w:name="_Hlk36015583"/>
            <w:r w:rsidRPr="0074143D">
              <w:rPr>
                <w:rFonts w:cs="Arial"/>
                <w:b/>
                <w:bCs/>
                <w:sz w:val="20"/>
              </w:rPr>
              <w:t>Q7</w:t>
            </w:r>
          </w:p>
        </w:tc>
        <w:tc>
          <w:tcPr>
            <w:tcW w:w="1710" w:type="dxa"/>
            <w:shd w:val="clear" w:color="auto" w:fill="DBE5F1" w:themeFill="accent1" w:themeFillTint="33"/>
          </w:tcPr>
          <w:p w14:paraId="67B68586" w14:textId="77777777" w:rsidR="004436D3" w:rsidRPr="0074143D" w:rsidRDefault="004436D3" w:rsidP="00F61E1E">
            <w:pPr>
              <w:spacing w:before="120" w:after="120"/>
              <w:jc w:val="both"/>
              <w:rPr>
                <w:rFonts w:cs="Arial"/>
                <w:b/>
                <w:bCs/>
                <w:sz w:val="20"/>
              </w:rPr>
            </w:pPr>
            <w:r w:rsidRPr="0074143D">
              <w:rPr>
                <w:rFonts w:cs="Arial"/>
                <w:b/>
                <w:bCs/>
                <w:sz w:val="20"/>
              </w:rPr>
              <w:t>Appendix 7, #30</w:t>
            </w:r>
          </w:p>
        </w:tc>
        <w:tc>
          <w:tcPr>
            <w:tcW w:w="1710" w:type="dxa"/>
            <w:shd w:val="clear" w:color="auto" w:fill="DBE5F1" w:themeFill="accent1" w:themeFillTint="33"/>
          </w:tcPr>
          <w:p w14:paraId="602D4C68" w14:textId="77777777" w:rsidR="004436D3" w:rsidRPr="0074143D" w:rsidRDefault="004436D3" w:rsidP="00F61E1E">
            <w:pPr>
              <w:spacing w:before="120" w:after="120"/>
              <w:jc w:val="both"/>
              <w:rPr>
                <w:rFonts w:cs="Arial"/>
                <w:b/>
                <w:bCs/>
                <w:sz w:val="20"/>
              </w:rPr>
            </w:pPr>
            <w:r w:rsidRPr="0074143D">
              <w:rPr>
                <w:rFonts w:cs="Arial"/>
                <w:b/>
                <w:bCs/>
                <w:sz w:val="20"/>
              </w:rPr>
              <w:t>3 of 28</w:t>
            </w:r>
          </w:p>
        </w:tc>
        <w:tc>
          <w:tcPr>
            <w:tcW w:w="3420" w:type="dxa"/>
            <w:shd w:val="clear" w:color="auto" w:fill="DBE5F1" w:themeFill="accent1" w:themeFillTint="33"/>
          </w:tcPr>
          <w:p w14:paraId="44D90CBF" w14:textId="77777777" w:rsidR="004436D3" w:rsidRPr="0074143D" w:rsidRDefault="004436D3" w:rsidP="005B6FF8">
            <w:pPr>
              <w:pStyle w:val="ListParagraph"/>
              <w:numPr>
                <w:ilvl w:val="0"/>
                <w:numId w:val="9"/>
              </w:numPr>
              <w:spacing w:before="120" w:after="120"/>
              <w:rPr>
                <w:rFonts w:cs="Arial"/>
                <w:b/>
                <w:bCs/>
                <w:sz w:val="20"/>
              </w:rPr>
            </w:pPr>
            <w:r w:rsidRPr="0074143D">
              <w:rPr>
                <w:rFonts w:cs="Arial"/>
                <w:b/>
                <w:bCs/>
                <w:sz w:val="20"/>
              </w:rPr>
              <w:t xml:space="preserve">Please describe the current process today, </w:t>
            </w:r>
            <w:r w:rsidRPr="0074143D">
              <w:rPr>
                <w:rFonts w:cs="Arial"/>
                <w:b/>
                <w:bCs/>
                <w:sz w:val="20"/>
              </w:rPr>
              <w:lastRenderedPageBreak/>
              <w:t>including anticipated invoice cycle(s) and data updates.</w:t>
            </w:r>
          </w:p>
          <w:p w14:paraId="55CAC27E" w14:textId="77777777" w:rsidR="004436D3" w:rsidRPr="0074143D" w:rsidRDefault="004436D3" w:rsidP="005B6FF8">
            <w:pPr>
              <w:pStyle w:val="ListParagraph"/>
              <w:numPr>
                <w:ilvl w:val="0"/>
                <w:numId w:val="9"/>
              </w:numPr>
              <w:spacing w:before="120" w:after="120"/>
              <w:rPr>
                <w:rFonts w:cs="Arial"/>
                <w:b/>
                <w:bCs/>
                <w:sz w:val="20"/>
              </w:rPr>
            </w:pPr>
            <w:r w:rsidRPr="0074143D">
              <w:rPr>
                <w:rFonts w:cs="Arial"/>
                <w:b/>
                <w:bCs/>
                <w:sz w:val="20"/>
              </w:rPr>
              <w:t>Are invoicing and reconciliation monthly or relative to payroll cycles?</w:t>
            </w:r>
          </w:p>
          <w:p w14:paraId="5E944412" w14:textId="77777777" w:rsidR="004436D3" w:rsidRPr="0074143D" w:rsidRDefault="004436D3" w:rsidP="005B6FF8">
            <w:pPr>
              <w:pStyle w:val="ListParagraph"/>
              <w:numPr>
                <w:ilvl w:val="0"/>
                <w:numId w:val="9"/>
              </w:numPr>
              <w:spacing w:before="120" w:after="120"/>
              <w:rPr>
                <w:rFonts w:cs="Arial"/>
                <w:b/>
                <w:bCs/>
                <w:sz w:val="20"/>
              </w:rPr>
            </w:pPr>
            <w:r w:rsidRPr="0074143D">
              <w:rPr>
                <w:rFonts w:cs="Arial"/>
                <w:b/>
                <w:bCs/>
                <w:sz w:val="20"/>
              </w:rPr>
              <w:t>What payment methods are presently permitted?</w:t>
            </w:r>
          </w:p>
          <w:p w14:paraId="790460BE" w14:textId="77777777" w:rsidR="004436D3" w:rsidRPr="0074143D" w:rsidRDefault="004436D3" w:rsidP="005B6FF8">
            <w:pPr>
              <w:pStyle w:val="ListParagraph"/>
              <w:numPr>
                <w:ilvl w:val="0"/>
                <w:numId w:val="9"/>
              </w:numPr>
              <w:spacing w:before="120" w:after="120"/>
              <w:rPr>
                <w:rFonts w:cs="Arial"/>
                <w:b/>
                <w:bCs/>
                <w:sz w:val="20"/>
              </w:rPr>
            </w:pPr>
            <w:r w:rsidRPr="0074143D">
              <w:rPr>
                <w:rFonts w:cs="Arial"/>
                <w:b/>
                <w:bCs/>
                <w:sz w:val="20"/>
              </w:rPr>
              <w:t>Does ETF expect to carry outstanding balances due from prior billing administrator forward into new IAS proposer administration?</w:t>
            </w:r>
          </w:p>
        </w:tc>
        <w:tc>
          <w:tcPr>
            <w:tcW w:w="5490" w:type="dxa"/>
            <w:shd w:val="clear" w:color="auto" w:fill="DBE5F1" w:themeFill="accent1" w:themeFillTint="33"/>
          </w:tcPr>
          <w:p w14:paraId="17A98053" w14:textId="60607758" w:rsidR="004436D3" w:rsidRPr="0074143D" w:rsidRDefault="004436D3" w:rsidP="006D2131">
            <w:pPr>
              <w:pStyle w:val="ListParagraph"/>
              <w:numPr>
                <w:ilvl w:val="0"/>
                <w:numId w:val="40"/>
              </w:numPr>
              <w:spacing w:before="120" w:after="120"/>
              <w:rPr>
                <w:b/>
                <w:bCs/>
                <w:sz w:val="20"/>
              </w:rPr>
            </w:pPr>
            <w:r w:rsidRPr="0074143D">
              <w:rPr>
                <w:b/>
                <w:bCs/>
                <w:color w:val="000000"/>
                <w:sz w:val="20"/>
              </w:rPr>
              <w:lastRenderedPageBreak/>
              <w:t xml:space="preserve">The current processes vary </w:t>
            </w:r>
            <w:r>
              <w:rPr>
                <w:b/>
                <w:bCs/>
                <w:color w:val="000000"/>
                <w:sz w:val="20"/>
              </w:rPr>
              <w:t>among</w:t>
            </w:r>
            <w:r w:rsidRPr="0074143D">
              <w:rPr>
                <w:b/>
                <w:bCs/>
                <w:color w:val="000000"/>
                <w:sz w:val="20"/>
              </w:rPr>
              <w:t xml:space="preserve"> insurance benefits and are described below. However, we are interested in any capabilities the Proposer’s </w:t>
            </w:r>
            <w:r w:rsidRPr="0074143D">
              <w:rPr>
                <w:b/>
                <w:bCs/>
                <w:color w:val="000000"/>
                <w:sz w:val="20"/>
              </w:rPr>
              <w:lastRenderedPageBreak/>
              <w:t xml:space="preserve">system offers to streamline, enhance, and implement consistencies in invoicing dates and processes across benefits. </w:t>
            </w:r>
          </w:p>
          <w:p w14:paraId="1A082848" w14:textId="77777777" w:rsidR="004436D3" w:rsidRPr="0074143D" w:rsidRDefault="004436D3" w:rsidP="00A96892">
            <w:pPr>
              <w:pStyle w:val="ListParagraph"/>
              <w:spacing w:before="120" w:after="120"/>
              <w:ind w:left="360"/>
              <w:rPr>
                <w:rFonts w:cs="Arial"/>
                <w:b/>
                <w:bCs/>
                <w:sz w:val="20"/>
              </w:rPr>
            </w:pPr>
          </w:p>
          <w:p w14:paraId="585CC8A5" w14:textId="77777777" w:rsidR="004436D3" w:rsidRPr="0074143D" w:rsidRDefault="004436D3" w:rsidP="006D2131">
            <w:pPr>
              <w:pStyle w:val="ListParagraph"/>
              <w:numPr>
                <w:ilvl w:val="0"/>
                <w:numId w:val="28"/>
              </w:numPr>
              <w:spacing w:before="120" w:after="120"/>
              <w:rPr>
                <w:b/>
                <w:bCs/>
                <w:sz w:val="20"/>
              </w:rPr>
            </w:pPr>
            <w:r w:rsidRPr="0074143D">
              <w:rPr>
                <w:b/>
                <w:bCs/>
                <w:color w:val="000000"/>
                <w:sz w:val="20"/>
              </w:rPr>
              <w:t xml:space="preserve">For health insurance: </w:t>
            </w:r>
          </w:p>
          <w:p w14:paraId="7A8A50E8" w14:textId="77777777" w:rsidR="004436D3" w:rsidRPr="0074143D" w:rsidRDefault="004436D3" w:rsidP="006D2131">
            <w:pPr>
              <w:pStyle w:val="ListParagraph"/>
              <w:spacing w:before="120" w:after="120"/>
              <w:rPr>
                <w:b/>
                <w:bCs/>
                <w:sz w:val="20"/>
              </w:rPr>
            </w:pPr>
          </w:p>
          <w:p w14:paraId="274ED4DC" w14:textId="77777777" w:rsidR="004436D3" w:rsidRPr="0074143D" w:rsidRDefault="004436D3" w:rsidP="006D2131">
            <w:pPr>
              <w:pStyle w:val="ListParagraph"/>
              <w:spacing w:before="120" w:after="120"/>
              <w:rPr>
                <w:b/>
                <w:bCs/>
                <w:sz w:val="20"/>
              </w:rPr>
            </w:pPr>
            <w:r w:rsidRPr="0074143D">
              <w:rPr>
                <w:b/>
                <w:bCs/>
                <w:sz w:val="20"/>
              </w:rPr>
              <w:t>Currently, invoice cycles vary between local and state employers. At a high-level, the process works as follows:</w:t>
            </w:r>
          </w:p>
          <w:p w14:paraId="57D9941F" w14:textId="556BC530" w:rsidR="004436D3" w:rsidRPr="0074143D" w:rsidRDefault="004436D3" w:rsidP="006D2131">
            <w:pPr>
              <w:pStyle w:val="ListParagraph"/>
              <w:numPr>
                <w:ilvl w:val="1"/>
                <w:numId w:val="28"/>
              </w:numPr>
              <w:spacing w:before="120" w:after="120"/>
              <w:ind w:left="1060"/>
              <w:rPr>
                <w:b/>
                <w:bCs/>
                <w:sz w:val="20"/>
              </w:rPr>
            </w:pPr>
            <w:r w:rsidRPr="0074143D">
              <w:rPr>
                <w:b/>
                <w:bCs/>
                <w:sz w:val="20"/>
              </w:rPr>
              <w:t xml:space="preserve">Invoices are generated each month from MEBS, our current health insurance system, for employers to review. </w:t>
            </w:r>
          </w:p>
          <w:p w14:paraId="77A915D5" w14:textId="247235E8" w:rsidR="004436D3" w:rsidRPr="0074143D" w:rsidRDefault="004436D3" w:rsidP="006D2131">
            <w:pPr>
              <w:pStyle w:val="ListParagraph"/>
              <w:numPr>
                <w:ilvl w:val="1"/>
                <w:numId w:val="28"/>
              </w:numPr>
              <w:spacing w:before="120" w:after="120"/>
              <w:ind w:left="1060"/>
              <w:rPr>
                <w:b/>
                <w:bCs/>
                <w:sz w:val="20"/>
              </w:rPr>
            </w:pPr>
            <w:r w:rsidRPr="0074143D">
              <w:rPr>
                <w:b/>
                <w:bCs/>
                <w:sz w:val="20"/>
              </w:rPr>
              <w:t xml:space="preserve">Any needed changes to coverage levels, start/end dates, etc. are made in MEBS, and a new invoice is generated. </w:t>
            </w:r>
          </w:p>
          <w:p w14:paraId="39E18193" w14:textId="7F3C3934" w:rsidR="004436D3" w:rsidRPr="0074143D" w:rsidRDefault="004436D3" w:rsidP="00B33D9A">
            <w:pPr>
              <w:pStyle w:val="ListParagraph"/>
              <w:numPr>
                <w:ilvl w:val="1"/>
                <w:numId w:val="28"/>
              </w:numPr>
              <w:spacing w:before="120" w:after="120"/>
              <w:ind w:left="1060"/>
              <w:rPr>
                <w:rFonts w:cs="Arial"/>
                <w:b/>
                <w:bCs/>
                <w:sz w:val="20"/>
              </w:rPr>
            </w:pPr>
            <w:r w:rsidRPr="0074143D">
              <w:rPr>
                <w:b/>
                <w:bCs/>
                <w:sz w:val="20"/>
              </w:rPr>
              <w:t>Invoices are “locked” on a pre-established date each month or when the employer has accepted the invoice, whichever is applicable for the situation.</w:t>
            </w:r>
          </w:p>
          <w:p w14:paraId="560F7CA8" w14:textId="77777777" w:rsidR="004436D3" w:rsidRPr="0074143D" w:rsidRDefault="004436D3" w:rsidP="006D2131">
            <w:pPr>
              <w:pStyle w:val="ListParagraph"/>
              <w:numPr>
                <w:ilvl w:val="1"/>
                <w:numId w:val="28"/>
              </w:numPr>
              <w:spacing w:before="120" w:after="120"/>
              <w:ind w:left="1060"/>
              <w:rPr>
                <w:b/>
                <w:bCs/>
                <w:sz w:val="20"/>
              </w:rPr>
            </w:pPr>
            <w:r w:rsidRPr="0074143D">
              <w:rPr>
                <w:b/>
                <w:bCs/>
                <w:sz w:val="20"/>
              </w:rPr>
              <w:t>Subsequent</w:t>
            </w:r>
            <w:r w:rsidRPr="0074143D">
              <w:rPr>
                <w:b/>
                <w:bCs/>
                <w:color w:val="000000"/>
                <w:sz w:val="20"/>
              </w:rPr>
              <w:t xml:space="preserve"> changes are reflected in the next monthly invoice.</w:t>
            </w:r>
          </w:p>
          <w:p w14:paraId="2B2E1A5D" w14:textId="77777777" w:rsidR="004436D3" w:rsidRPr="0074143D" w:rsidRDefault="004436D3" w:rsidP="006D2131">
            <w:pPr>
              <w:pStyle w:val="ListParagraph"/>
              <w:numPr>
                <w:ilvl w:val="1"/>
                <w:numId w:val="28"/>
              </w:numPr>
              <w:spacing w:before="120" w:after="120"/>
              <w:ind w:left="1060"/>
              <w:rPr>
                <w:b/>
                <w:bCs/>
                <w:sz w:val="20"/>
              </w:rPr>
            </w:pPr>
            <w:r w:rsidRPr="0074143D">
              <w:rPr>
                <w:b/>
                <w:bCs/>
                <w:color w:val="000000"/>
                <w:sz w:val="20"/>
              </w:rPr>
              <w:t xml:space="preserve">Employers are required to pay the full amount of the invoice each month. </w:t>
            </w:r>
          </w:p>
          <w:p w14:paraId="4ACB2DDD" w14:textId="5A561D80" w:rsidR="004436D3" w:rsidRPr="0074143D" w:rsidRDefault="004436D3" w:rsidP="00B80CE7">
            <w:pPr>
              <w:pStyle w:val="ListParagraph"/>
              <w:spacing w:before="120" w:after="120"/>
              <w:ind w:left="360"/>
              <w:rPr>
                <w:rFonts w:cs="Arial"/>
                <w:b/>
                <w:bCs/>
                <w:sz w:val="20"/>
              </w:rPr>
            </w:pPr>
          </w:p>
          <w:p w14:paraId="07F1A200" w14:textId="77777777" w:rsidR="004436D3" w:rsidRPr="0074143D" w:rsidRDefault="004436D3" w:rsidP="006D2131">
            <w:pPr>
              <w:pStyle w:val="ListParagraph"/>
              <w:spacing w:before="120" w:after="120"/>
              <w:ind w:left="700"/>
              <w:rPr>
                <w:b/>
                <w:bCs/>
                <w:sz w:val="20"/>
              </w:rPr>
            </w:pPr>
            <w:r w:rsidRPr="0074143D">
              <w:rPr>
                <w:b/>
                <w:bCs/>
                <w:sz w:val="20"/>
              </w:rPr>
              <w:t xml:space="preserve">We are interested in potentially moving to a single invoicing cycle for all employers but are interested in also knowing if the Proposer’s system can handle multiple invoicing cycles. </w:t>
            </w:r>
          </w:p>
          <w:p w14:paraId="6F773840" w14:textId="77777777" w:rsidR="004436D3" w:rsidRPr="0074143D" w:rsidRDefault="004436D3" w:rsidP="003818A0">
            <w:pPr>
              <w:pStyle w:val="ListParagraph"/>
              <w:spacing w:before="120" w:after="120"/>
              <w:ind w:left="700"/>
              <w:rPr>
                <w:rFonts w:cs="Arial"/>
                <w:b/>
                <w:bCs/>
                <w:sz w:val="20"/>
              </w:rPr>
            </w:pPr>
          </w:p>
          <w:p w14:paraId="10347A62" w14:textId="4C8AC2F2" w:rsidR="004436D3" w:rsidRPr="0074143D" w:rsidRDefault="004436D3" w:rsidP="007E0A4D">
            <w:pPr>
              <w:pStyle w:val="ListParagraph"/>
              <w:numPr>
                <w:ilvl w:val="0"/>
                <w:numId w:val="28"/>
              </w:numPr>
              <w:spacing w:before="120" w:after="120"/>
              <w:ind w:left="700"/>
              <w:rPr>
                <w:b/>
                <w:bCs/>
                <w:sz w:val="20"/>
              </w:rPr>
            </w:pPr>
            <w:r w:rsidRPr="0074143D">
              <w:rPr>
                <w:b/>
                <w:bCs/>
                <w:color w:val="000000"/>
                <w:sz w:val="20"/>
              </w:rPr>
              <w:t>For life insurance:</w:t>
            </w:r>
          </w:p>
          <w:p w14:paraId="0265AA90" w14:textId="77777777" w:rsidR="004436D3" w:rsidRPr="0074143D" w:rsidRDefault="004436D3" w:rsidP="007E0A4D">
            <w:pPr>
              <w:pStyle w:val="ListParagraph"/>
              <w:spacing w:before="120" w:after="120"/>
              <w:ind w:left="700"/>
              <w:rPr>
                <w:b/>
                <w:bCs/>
                <w:sz w:val="20"/>
              </w:rPr>
            </w:pPr>
          </w:p>
          <w:p w14:paraId="4847C423" w14:textId="77777777" w:rsidR="004436D3" w:rsidRPr="0074143D" w:rsidRDefault="004436D3" w:rsidP="007E0A4D">
            <w:pPr>
              <w:pStyle w:val="ListParagraph"/>
              <w:spacing w:before="120" w:after="120"/>
              <w:ind w:left="700"/>
              <w:rPr>
                <w:b/>
                <w:bCs/>
                <w:sz w:val="20"/>
              </w:rPr>
            </w:pPr>
            <w:r w:rsidRPr="0074143D">
              <w:rPr>
                <w:b/>
                <w:bCs/>
                <w:sz w:val="20"/>
              </w:rPr>
              <w:t>Invoices for active employees are generated and distributed by the life insurance TPA to employers, who then submit premium payments directly back to the TPA. ETF is not currently involved in this process.</w:t>
            </w:r>
          </w:p>
          <w:p w14:paraId="043C57F2" w14:textId="77777777" w:rsidR="004436D3" w:rsidRPr="0074143D" w:rsidRDefault="004436D3" w:rsidP="007E0A4D">
            <w:pPr>
              <w:pStyle w:val="ListParagraph"/>
              <w:spacing w:before="120" w:after="120"/>
              <w:ind w:left="700"/>
              <w:rPr>
                <w:b/>
                <w:bCs/>
                <w:sz w:val="20"/>
              </w:rPr>
            </w:pPr>
          </w:p>
          <w:p w14:paraId="1A06A19A" w14:textId="0FD2AF69" w:rsidR="004436D3" w:rsidRPr="0074143D" w:rsidRDefault="004436D3" w:rsidP="007E0A4D">
            <w:pPr>
              <w:pStyle w:val="ListParagraph"/>
              <w:spacing w:before="120" w:after="120"/>
              <w:ind w:left="700"/>
              <w:rPr>
                <w:b/>
                <w:bCs/>
                <w:sz w:val="20"/>
              </w:rPr>
            </w:pPr>
            <w:r w:rsidRPr="0074143D">
              <w:rPr>
                <w:b/>
                <w:bCs/>
                <w:sz w:val="20"/>
              </w:rPr>
              <w:lastRenderedPageBreak/>
              <w:t xml:space="preserve">No invoice is currently created for retirees. For retirees receiving annuity payments, ETF submits payment each month to the life insurance TPA equal to the premiums deducted from retiree annuity payments. The TPA directly bills those retirees not receiving an annuity payment. </w:t>
            </w:r>
          </w:p>
          <w:p w14:paraId="3D834932" w14:textId="77777777" w:rsidR="004436D3" w:rsidRPr="0074143D" w:rsidRDefault="004436D3" w:rsidP="007E0A4D">
            <w:pPr>
              <w:pStyle w:val="ListParagraph"/>
              <w:spacing w:before="120" w:after="120"/>
              <w:ind w:left="700"/>
              <w:rPr>
                <w:rFonts w:cs="Arial"/>
                <w:b/>
                <w:bCs/>
                <w:sz w:val="20"/>
              </w:rPr>
            </w:pPr>
          </w:p>
          <w:p w14:paraId="74C87500" w14:textId="209FF642" w:rsidR="004436D3" w:rsidRPr="0074143D" w:rsidRDefault="004436D3" w:rsidP="007E0A4D">
            <w:pPr>
              <w:pStyle w:val="ListParagraph"/>
              <w:numPr>
                <w:ilvl w:val="0"/>
                <w:numId w:val="28"/>
              </w:numPr>
              <w:spacing w:before="120" w:after="120"/>
              <w:ind w:left="700"/>
              <w:rPr>
                <w:b/>
                <w:bCs/>
                <w:sz w:val="20"/>
              </w:rPr>
            </w:pPr>
            <w:r w:rsidRPr="0074143D">
              <w:rPr>
                <w:b/>
                <w:bCs/>
                <w:color w:val="000000"/>
                <w:sz w:val="20"/>
              </w:rPr>
              <w:t>For ICI:</w:t>
            </w:r>
          </w:p>
          <w:p w14:paraId="33B714C6" w14:textId="77777777" w:rsidR="004436D3" w:rsidRPr="0074143D" w:rsidRDefault="004436D3" w:rsidP="00DF10F7">
            <w:pPr>
              <w:pStyle w:val="ListParagraph"/>
              <w:spacing w:before="120" w:after="120"/>
              <w:ind w:left="700"/>
              <w:rPr>
                <w:b/>
                <w:bCs/>
                <w:sz w:val="20"/>
              </w:rPr>
            </w:pPr>
          </w:p>
          <w:p w14:paraId="493D7537" w14:textId="77777777" w:rsidR="004436D3" w:rsidRPr="0074143D" w:rsidRDefault="004436D3" w:rsidP="007E0A4D">
            <w:pPr>
              <w:pStyle w:val="ListParagraph"/>
              <w:spacing w:before="120" w:after="120"/>
              <w:ind w:left="340"/>
              <w:rPr>
                <w:b/>
                <w:bCs/>
                <w:sz w:val="20"/>
              </w:rPr>
            </w:pPr>
          </w:p>
          <w:p w14:paraId="55C68E54" w14:textId="77777777" w:rsidR="004436D3" w:rsidRPr="0074143D" w:rsidRDefault="004436D3" w:rsidP="007E0A4D">
            <w:pPr>
              <w:pStyle w:val="ListParagraph"/>
              <w:spacing w:before="120" w:after="120"/>
              <w:ind w:left="700"/>
              <w:rPr>
                <w:b/>
                <w:bCs/>
                <w:color w:val="000000"/>
                <w:sz w:val="20"/>
              </w:rPr>
            </w:pPr>
            <w:r w:rsidRPr="0074143D">
              <w:rPr>
                <w:b/>
                <w:bCs/>
                <w:color w:val="000000"/>
                <w:sz w:val="20"/>
              </w:rPr>
              <w:t>We do not currently have an ICI enrollment database or any mechanism via which to generate a traditional invoice.</w:t>
            </w:r>
          </w:p>
          <w:p w14:paraId="3D4F1411" w14:textId="77777777" w:rsidR="004436D3" w:rsidRPr="0074143D" w:rsidRDefault="004436D3" w:rsidP="007E0A4D">
            <w:pPr>
              <w:pStyle w:val="ListParagraph"/>
              <w:spacing w:before="120" w:after="120"/>
              <w:ind w:left="700"/>
              <w:rPr>
                <w:b/>
                <w:bCs/>
                <w:color w:val="000000"/>
                <w:sz w:val="20"/>
              </w:rPr>
            </w:pPr>
          </w:p>
          <w:p w14:paraId="57053EAE" w14:textId="7836CF3F" w:rsidR="004436D3" w:rsidRPr="0074143D" w:rsidRDefault="004436D3" w:rsidP="00DF10F7">
            <w:pPr>
              <w:pStyle w:val="ListParagraph"/>
              <w:spacing w:before="120" w:after="120"/>
              <w:ind w:left="700"/>
              <w:rPr>
                <w:b/>
                <w:bCs/>
                <w:color w:val="000000"/>
                <w:sz w:val="20"/>
              </w:rPr>
            </w:pPr>
            <w:r w:rsidRPr="0074143D">
              <w:rPr>
                <w:b/>
                <w:bCs/>
                <w:color w:val="000000"/>
                <w:sz w:val="20"/>
              </w:rPr>
              <w:t xml:space="preserve">Currently, employers report employee counts per category or elimination period, whichever is appropriate, in MEBS. For state employers, MEBS uses that data to calculate the premiums owed. Local employers are currently on a premium holiday and do not make premium payments, although that will likely change at some point in the future. </w:t>
            </w:r>
          </w:p>
          <w:p w14:paraId="223DC87C" w14:textId="77777777" w:rsidR="004436D3" w:rsidRPr="0074143D" w:rsidRDefault="004436D3" w:rsidP="007E0A4D">
            <w:pPr>
              <w:pStyle w:val="ListParagraph"/>
              <w:spacing w:before="120" w:after="120"/>
              <w:ind w:left="340"/>
              <w:rPr>
                <w:rFonts w:cs="Arial"/>
                <w:b/>
                <w:bCs/>
                <w:sz w:val="20"/>
              </w:rPr>
            </w:pPr>
          </w:p>
          <w:p w14:paraId="652FCA3A" w14:textId="77777777" w:rsidR="004436D3" w:rsidRPr="0074143D" w:rsidRDefault="004436D3" w:rsidP="007E0A4D">
            <w:pPr>
              <w:pStyle w:val="ListParagraph"/>
              <w:numPr>
                <w:ilvl w:val="0"/>
                <w:numId w:val="28"/>
              </w:numPr>
              <w:spacing w:before="120" w:after="120"/>
              <w:ind w:left="700"/>
              <w:rPr>
                <w:b/>
                <w:bCs/>
                <w:sz w:val="20"/>
              </w:rPr>
            </w:pPr>
            <w:r w:rsidRPr="0074143D">
              <w:rPr>
                <w:b/>
                <w:bCs/>
                <w:color w:val="000000"/>
                <w:sz w:val="20"/>
              </w:rPr>
              <w:t>For supplemental benefits:</w:t>
            </w:r>
          </w:p>
          <w:p w14:paraId="756E0B67" w14:textId="77777777" w:rsidR="004436D3" w:rsidRPr="0074143D" w:rsidRDefault="004436D3" w:rsidP="007E0A4D">
            <w:pPr>
              <w:pStyle w:val="ListParagraph"/>
              <w:spacing w:before="120" w:after="120"/>
              <w:ind w:left="700"/>
              <w:rPr>
                <w:b/>
                <w:bCs/>
                <w:sz w:val="20"/>
              </w:rPr>
            </w:pPr>
          </w:p>
          <w:p w14:paraId="19B863AF" w14:textId="19D56008" w:rsidR="004436D3" w:rsidRPr="0074143D" w:rsidRDefault="004436D3" w:rsidP="007E0A4D">
            <w:pPr>
              <w:pStyle w:val="ListParagraph"/>
              <w:numPr>
                <w:ilvl w:val="1"/>
                <w:numId w:val="28"/>
              </w:numPr>
              <w:spacing w:before="120" w:after="120"/>
              <w:ind w:left="1090"/>
              <w:rPr>
                <w:b/>
                <w:bCs/>
                <w:sz w:val="20"/>
              </w:rPr>
            </w:pPr>
            <w:r w:rsidRPr="0074143D">
              <w:rPr>
                <w:b/>
                <w:bCs/>
                <w:sz w:val="20"/>
                <w:u w:val="single"/>
              </w:rPr>
              <w:t>Vision</w:t>
            </w:r>
            <w:r w:rsidRPr="0074143D">
              <w:rPr>
                <w:b/>
                <w:bCs/>
                <w:sz w:val="20"/>
              </w:rPr>
              <w:t xml:space="preserve"> – invoicing and premium payments work in a similar manner with the Vision TPA as does life insurance with the life insurance TPA. See the “For life insurance” bullet point above for more details. </w:t>
            </w:r>
          </w:p>
          <w:p w14:paraId="29D1D4EB" w14:textId="77777777" w:rsidR="004436D3" w:rsidRPr="0074143D" w:rsidRDefault="004436D3" w:rsidP="00DF10F7">
            <w:pPr>
              <w:pStyle w:val="ListParagraph"/>
              <w:spacing w:before="120" w:after="120"/>
              <w:ind w:left="1090"/>
              <w:rPr>
                <w:b/>
                <w:bCs/>
                <w:sz w:val="20"/>
              </w:rPr>
            </w:pPr>
          </w:p>
          <w:p w14:paraId="0772BA3D" w14:textId="4C905636" w:rsidR="004436D3" w:rsidRPr="0074143D" w:rsidRDefault="004436D3" w:rsidP="00B33D9A">
            <w:pPr>
              <w:pStyle w:val="ListParagraph"/>
              <w:numPr>
                <w:ilvl w:val="1"/>
                <w:numId w:val="28"/>
              </w:numPr>
              <w:spacing w:before="120" w:after="120"/>
              <w:ind w:left="1090"/>
              <w:rPr>
                <w:b/>
                <w:bCs/>
                <w:sz w:val="20"/>
              </w:rPr>
            </w:pPr>
            <w:r w:rsidRPr="0074143D">
              <w:rPr>
                <w:b/>
                <w:bCs/>
                <w:sz w:val="20"/>
                <w:u w:val="single"/>
              </w:rPr>
              <w:t>Dental</w:t>
            </w:r>
            <w:r w:rsidRPr="0074143D">
              <w:rPr>
                <w:b/>
                <w:bCs/>
                <w:sz w:val="20"/>
              </w:rPr>
              <w:t xml:space="preserve"> – employers and retirees are direct billed by the dental TPA, and all premium payments are currently made directly to that TPA. </w:t>
            </w:r>
          </w:p>
          <w:p w14:paraId="3A0FB3D5" w14:textId="77777777" w:rsidR="004436D3" w:rsidRPr="0074143D" w:rsidRDefault="004436D3" w:rsidP="00DF10F7">
            <w:pPr>
              <w:pStyle w:val="ListParagraph"/>
              <w:spacing w:before="120" w:after="120"/>
              <w:ind w:left="1090"/>
              <w:rPr>
                <w:b/>
                <w:bCs/>
                <w:sz w:val="20"/>
              </w:rPr>
            </w:pPr>
          </w:p>
          <w:p w14:paraId="70CA468B" w14:textId="26D9FA19" w:rsidR="004436D3" w:rsidRPr="0074143D" w:rsidRDefault="004436D3" w:rsidP="007E0A4D">
            <w:pPr>
              <w:pStyle w:val="ListParagraph"/>
              <w:numPr>
                <w:ilvl w:val="1"/>
                <w:numId w:val="28"/>
              </w:numPr>
              <w:spacing w:before="120" w:after="120"/>
              <w:ind w:left="1090"/>
              <w:rPr>
                <w:b/>
                <w:bCs/>
                <w:sz w:val="20"/>
              </w:rPr>
            </w:pPr>
            <w:r w:rsidRPr="0074143D">
              <w:rPr>
                <w:b/>
                <w:bCs/>
                <w:sz w:val="20"/>
                <w:u w:val="single"/>
              </w:rPr>
              <w:lastRenderedPageBreak/>
              <w:t>Employee Reimbursement/Commuter Benefits</w:t>
            </w:r>
            <w:r w:rsidRPr="0074143D">
              <w:rPr>
                <w:b/>
                <w:bCs/>
                <w:sz w:val="20"/>
              </w:rPr>
              <w:t xml:space="preserve"> – No invoices are currently generated. State employers submit contributions to ETF based on the payroll deductions collected in that employer’s payroll cycle. </w:t>
            </w:r>
          </w:p>
          <w:p w14:paraId="135C5AE4" w14:textId="72DE5B10" w:rsidR="004436D3" w:rsidRDefault="004436D3" w:rsidP="0074143D">
            <w:pPr>
              <w:spacing w:before="120" w:after="120"/>
              <w:rPr>
                <w:rFonts w:cs="Arial"/>
                <w:b/>
                <w:bCs/>
                <w:sz w:val="20"/>
              </w:rPr>
            </w:pPr>
            <w:r>
              <w:rPr>
                <w:rFonts w:cs="Arial"/>
                <w:b/>
                <w:bCs/>
                <w:sz w:val="20"/>
              </w:rPr>
              <w:t>We are looking for the new IAS to compile and display financial-related information for all insurance benefits, regardless of who/which system generates the invoices and captures premium payments, in a comprehensive, cohesive view.</w:t>
            </w:r>
          </w:p>
          <w:p w14:paraId="0DB3D6A0" w14:textId="77777777" w:rsidR="004436D3" w:rsidRPr="0074143D" w:rsidRDefault="004436D3" w:rsidP="0074143D">
            <w:pPr>
              <w:spacing w:before="120" w:after="120"/>
              <w:rPr>
                <w:b/>
                <w:bCs/>
                <w:sz w:val="20"/>
              </w:rPr>
            </w:pPr>
          </w:p>
          <w:p w14:paraId="64A5C98D" w14:textId="25DFE7C0" w:rsidR="004436D3" w:rsidRPr="0074143D" w:rsidRDefault="004436D3" w:rsidP="003818A0">
            <w:pPr>
              <w:pStyle w:val="ListParagraph"/>
              <w:numPr>
                <w:ilvl w:val="0"/>
                <w:numId w:val="29"/>
              </w:numPr>
              <w:spacing w:before="120" w:after="120"/>
              <w:rPr>
                <w:rFonts w:cs="Arial"/>
                <w:b/>
                <w:bCs/>
                <w:sz w:val="20"/>
              </w:rPr>
            </w:pPr>
            <w:r w:rsidRPr="0074143D">
              <w:rPr>
                <w:rFonts w:cs="Arial"/>
                <w:b/>
                <w:bCs/>
                <w:sz w:val="20"/>
              </w:rPr>
              <w:t>See answer provided in a. above.</w:t>
            </w:r>
          </w:p>
          <w:p w14:paraId="19CA6880" w14:textId="77777777" w:rsidR="004436D3" w:rsidRPr="0074143D" w:rsidRDefault="004436D3" w:rsidP="003818A0">
            <w:pPr>
              <w:pStyle w:val="ListParagraph"/>
              <w:spacing w:before="120" w:after="120"/>
              <w:ind w:left="360"/>
              <w:rPr>
                <w:rFonts w:cs="Arial"/>
                <w:b/>
                <w:bCs/>
                <w:sz w:val="20"/>
              </w:rPr>
            </w:pPr>
          </w:p>
          <w:p w14:paraId="513299AC" w14:textId="44139474" w:rsidR="004436D3" w:rsidRPr="0074143D" w:rsidRDefault="004436D3" w:rsidP="00FB39BF">
            <w:pPr>
              <w:pStyle w:val="ListParagraph"/>
              <w:numPr>
                <w:ilvl w:val="0"/>
                <w:numId w:val="29"/>
              </w:numPr>
              <w:spacing w:before="120" w:after="120"/>
              <w:rPr>
                <w:rFonts w:cs="Arial"/>
                <w:b/>
                <w:bCs/>
                <w:sz w:val="20"/>
              </w:rPr>
            </w:pPr>
            <w:r w:rsidRPr="0074143D">
              <w:rPr>
                <w:rFonts w:cs="Arial"/>
                <w:b/>
                <w:bCs/>
                <w:sz w:val="20"/>
              </w:rPr>
              <w:t xml:space="preserve">Currently permitted methods of payment include ACH, inter-unit billing, and paper checks (for those new employers who do not yet have ACH set up). We are interested in any capabilities the Proposer’s system offers in relation to permitted payment methods and practices. </w:t>
            </w:r>
          </w:p>
          <w:p w14:paraId="4517776B" w14:textId="77777777" w:rsidR="004436D3" w:rsidRPr="0074143D" w:rsidRDefault="004436D3" w:rsidP="00F31F34">
            <w:pPr>
              <w:pStyle w:val="ListParagraph"/>
              <w:rPr>
                <w:rFonts w:cs="Arial"/>
                <w:b/>
                <w:bCs/>
                <w:sz w:val="20"/>
              </w:rPr>
            </w:pPr>
          </w:p>
          <w:p w14:paraId="3800630B" w14:textId="0B36E6E4" w:rsidR="004436D3" w:rsidRPr="0074143D" w:rsidRDefault="004436D3" w:rsidP="00F61E1E">
            <w:pPr>
              <w:pStyle w:val="ListParagraph"/>
              <w:numPr>
                <w:ilvl w:val="0"/>
                <w:numId w:val="29"/>
              </w:numPr>
              <w:spacing w:before="120" w:after="120"/>
              <w:rPr>
                <w:rFonts w:cs="Arial"/>
                <w:b/>
                <w:bCs/>
                <w:sz w:val="20"/>
              </w:rPr>
            </w:pPr>
            <w:r w:rsidRPr="0074143D">
              <w:rPr>
                <w:rFonts w:cs="Arial"/>
                <w:b/>
                <w:bCs/>
                <w:sz w:val="20"/>
              </w:rPr>
              <w:t>Yes, outstanding balances from our current health insurance system will need to be migrated to the new IAS.</w:t>
            </w:r>
          </w:p>
        </w:tc>
      </w:tr>
      <w:tr w:rsidR="004436D3" w:rsidRPr="00255BA3" w14:paraId="3BB205FA" w14:textId="77777777" w:rsidTr="00AC3150">
        <w:tc>
          <w:tcPr>
            <w:tcW w:w="720" w:type="dxa"/>
            <w:shd w:val="clear" w:color="auto" w:fill="EEECE1" w:themeFill="background2"/>
          </w:tcPr>
          <w:p w14:paraId="324E5CD5" w14:textId="77777777" w:rsidR="004436D3" w:rsidRPr="00255BA3" w:rsidRDefault="004436D3" w:rsidP="00F61E1E">
            <w:pPr>
              <w:spacing w:before="120" w:after="120"/>
              <w:jc w:val="both"/>
              <w:rPr>
                <w:rFonts w:cs="Arial"/>
                <w:b/>
                <w:bCs/>
                <w:sz w:val="20"/>
              </w:rPr>
            </w:pPr>
            <w:bookmarkStart w:id="3" w:name="_Hlk36015746"/>
            <w:bookmarkEnd w:id="2"/>
            <w:r w:rsidRPr="00255BA3">
              <w:rPr>
                <w:rFonts w:cs="Arial"/>
                <w:b/>
                <w:bCs/>
                <w:sz w:val="20"/>
              </w:rPr>
              <w:lastRenderedPageBreak/>
              <w:t>Q8</w:t>
            </w:r>
          </w:p>
        </w:tc>
        <w:tc>
          <w:tcPr>
            <w:tcW w:w="1710" w:type="dxa"/>
            <w:shd w:val="clear" w:color="auto" w:fill="EEECE1" w:themeFill="background2"/>
          </w:tcPr>
          <w:p w14:paraId="034C2815" w14:textId="77777777" w:rsidR="004436D3" w:rsidRPr="00255BA3" w:rsidRDefault="004436D3" w:rsidP="00F61E1E">
            <w:pPr>
              <w:spacing w:before="120" w:after="120"/>
              <w:jc w:val="both"/>
              <w:rPr>
                <w:rFonts w:cs="Arial"/>
                <w:b/>
                <w:bCs/>
                <w:sz w:val="20"/>
              </w:rPr>
            </w:pPr>
            <w:r w:rsidRPr="00255BA3">
              <w:rPr>
                <w:rFonts w:eastAsia="Calibri" w:cs="Arial"/>
                <w:b/>
                <w:bCs/>
                <w:sz w:val="20"/>
              </w:rPr>
              <w:t>Appendix 7, #33</w:t>
            </w:r>
          </w:p>
        </w:tc>
        <w:tc>
          <w:tcPr>
            <w:tcW w:w="1710" w:type="dxa"/>
            <w:shd w:val="clear" w:color="auto" w:fill="EEECE1" w:themeFill="background2"/>
          </w:tcPr>
          <w:p w14:paraId="1BAA69CD" w14:textId="77777777" w:rsidR="004436D3" w:rsidRPr="00255BA3" w:rsidRDefault="004436D3" w:rsidP="00F61E1E">
            <w:pPr>
              <w:spacing w:before="120" w:after="120"/>
              <w:jc w:val="both"/>
              <w:rPr>
                <w:rFonts w:cs="Arial"/>
                <w:b/>
                <w:bCs/>
                <w:sz w:val="20"/>
              </w:rPr>
            </w:pPr>
            <w:r w:rsidRPr="00255BA3">
              <w:rPr>
                <w:rFonts w:eastAsia="Calibri" w:cs="Arial"/>
                <w:b/>
                <w:bCs/>
                <w:sz w:val="20"/>
              </w:rPr>
              <w:t>4 of 28</w:t>
            </w:r>
          </w:p>
        </w:tc>
        <w:tc>
          <w:tcPr>
            <w:tcW w:w="3420" w:type="dxa"/>
            <w:shd w:val="clear" w:color="auto" w:fill="EEECE1" w:themeFill="background2"/>
          </w:tcPr>
          <w:p w14:paraId="73A98B7A" w14:textId="77777777" w:rsidR="004436D3" w:rsidRPr="00255BA3" w:rsidRDefault="004436D3" w:rsidP="005B6FF8">
            <w:pPr>
              <w:pStyle w:val="ListParagraph"/>
              <w:numPr>
                <w:ilvl w:val="0"/>
                <w:numId w:val="10"/>
              </w:numPr>
              <w:spacing w:before="120" w:after="120"/>
              <w:rPr>
                <w:rFonts w:eastAsia="Calibri" w:cs="Arial"/>
                <w:b/>
                <w:bCs/>
                <w:sz w:val="20"/>
              </w:rPr>
            </w:pPr>
            <w:r w:rsidRPr="00255BA3">
              <w:rPr>
                <w:rFonts w:eastAsia="Calibri" w:cs="Arial"/>
                <w:b/>
                <w:bCs/>
                <w:sz w:val="20"/>
              </w:rPr>
              <w:t>Please describe the sources, outside of payroll, from which premium deduction information may be received.</w:t>
            </w:r>
          </w:p>
          <w:p w14:paraId="4A58CC65" w14:textId="77777777" w:rsidR="004436D3" w:rsidRPr="00255BA3" w:rsidRDefault="004436D3" w:rsidP="005B6FF8">
            <w:pPr>
              <w:pStyle w:val="ListParagraph"/>
              <w:numPr>
                <w:ilvl w:val="0"/>
                <w:numId w:val="10"/>
              </w:numPr>
              <w:spacing w:before="120" w:after="120"/>
              <w:rPr>
                <w:rFonts w:cs="Arial"/>
                <w:b/>
                <w:bCs/>
                <w:sz w:val="20"/>
              </w:rPr>
            </w:pPr>
            <w:r w:rsidRPr="00255BA3">
              <w:rPr>
                <w:rFonts w:eastAsia="Calibri" w:cs="Arial"/>
                <w:b/>
                <w:bCs/>
                <w:sz w:val="20"/>
              </w:rPr>
              <w:t>Does ETF have expectation that such external files would be inputs to Consolidated Billing?</w:t>
            </w:r>
          </w:p>
        </w:tc>
        <w:tc>
          <w:tcPr>
            <w:tcW w:w="5490" w:type="dxa"/>
            <w:shd w:val="clear" w:color="auto" w:fill="EEECE1" w:themeFill="background2"/>
          </w:tcPr>
          <w:p w14:paraId="15A77DEE" w14:textId="592285D4" w:rsidR="004436D3" w:rsidRDefault="004436D3" w:rsidP="009205F3">
            <w:pPr>
              <w:pStyle w:val="ListParagraph"/>
              <w:numPr>
                <w:ilvl w:val="0"/>
                <w:numId w:val="30"/>
              </w:numPr>
              <w:spacing w:before="120" w:after="120"/>
              <w:rPr>
                <w:rFonts w:cs="Arial"/>
                <w:b/>
                <w:bCs/>
                <w:sz w:val="20"/>
              </w:rPr>
            </w:pPr>
            <w:r>
              <w:rPr>
                <w:rFonts w:cs="Arial"/>
                <w:b/>
                <w:bCs/>
                <w:sz w:val="20"/>
              </w:rPr>
              <w:t>Other than payroll deduction records from employers, additional sources of premium payment information include:</w:t>
            </w:r>
          </w:p>
          <w:p w14:paraId="462860A5" w14:textId="7D5C02BB" w:rsidR="004436D3" w:rsidRDefault="004436D3" w:rsidP="00EE2492">
            <w:pPr>
              <w:pStyle w:val="ListParagraph"/>
              <w:numPr>
                <w:ilvl w:val="0"/>
                <w:numId w:val="28"/>
              </w:numPr>
              <w:spacing w:before="120" w:after="120"/>
              <w:rPr>
                <w:rFonts w:cs="Arial"/>
                <w:b/>
                <w:bCs/>
                <w:sz w:val="20"/>
              </w:rPr>
            </w:pPr>
            <w:r w:rsidRPr="009205F3">
              <w:rPr>
                <w:rFonts w:cs="Arial"/>
                <w:b/>
                <w:bCs/>
                <w:sz w:val="20"/>
              </w:rPr>
              <w:t>Employees on leave of absence</w:t>
            </w:r>
            <w:r>
              <w:rPr>
                <w:rFonts w:cs="Arial"/>
                <w:b/>
                <w:bCs/>
                <w:sz w:val="20"/>
              </w:rPr>
              <w:t xml:space="preserve">, </w:t>
            </w:r>
            <w:r w:rsidRPr="009205F3">
              <w:rPr>
                <w:rFonts w:cs="Arial"/>
                <w:b/>
                <w:bCs/>
                <w:sz w:val="20"/>
              </w:rPr>
              <w:t>layoff</w:t>
            </w:r>
            <w:r>
              <w:rPr>
                <w:rFonts w:cs="Arial"/>
                <w:b/>
                <w:bCs/>
                <w:sz w:val="20"/>
              </w:rPr>
              <w:t xml:space="preserve">, etc., </w:t>
            </w:r>
            <w:r w:rsidRPr="009205F3">
              <w:rPr>
                <w:rFonts w:cs="Arial"/>
                <w:b/>
                <w:bCs/>
                <w:sz w:val="20"/>
              </w:rPr>
              <w:t>who submit personal checks to employer</w:t>
            </w:r>
            <w:r>
              <w:rPr>
                <w:rFonts w:cs="Arial"/>
                <w:b/>
                <w:bCs/>
                <w:sz w:val="20"/>
              </w:rPr>
              <w:t>s</w:t>
            </w:r>
          </w:p>
          <w:p w14:paraId="39DBB541" w14:textId="32E88087" w:rsidR="004436D3" w:rsidRDefault="004436D3" w:rsidP="0016788F">
            <w:pPr>
              <w:pStyle w:val="ListParagraph"/>
              <w:numPr>
                <w:ilvl w:val="0"/>
                <w:numId w:val="28"/>
              </w:numPr>
              <w:spacing w:before="120" w:after="120"/>
              <w:rPr>
                <w:rFonts w:cs="Arial"/>
                <w:b/>
                <w:bCs/>
                <w:sz w:val="20"/>
              </w:rPr>
            </w:pPr>
            <w:r w:rsidRPr="009205F3">
              <w:rPr>
                <w:rFonts w:cs="Arial"/>
                <w:b/>
                <w:bCs/>
                <w:sz w:val="20"/>
              </w:rPr>
              <w:t>Annuity deduction</w:t>
            </w:r>
            <w:r>
              <w:rPr>
                <w:rFonts w:cs="Arial"/>
                <w:b/>
                <w:bCs/>
                <w:sz w:val="20"/>
              </w:rPr>
              <w:t xml:space="preserve"> </w:t>
            </w:r>
          </w:p>
          <w:p w14:paraId="1C978334" w14:textId="03CCD922" w:rsidR="004436D3" w:rsidRDefault="004436D3" w:rsidP="0016788F">
            <w:pPr>
              <w:pStyle w:val="ListParagraph"/>
              <w:numPr>
                <w:ilvl w:val="0"/>
                <w:numId w:val="28"/>
              </w:numPr>
              <w:spacing w:before="120" w:after="120"/>
              <w:rPr>
                <w:rFonts w:cs="Arial"/>
                <w:b/>
                <w:bCs/>
                <w:sz w:val="20"/>
              </w:rPr>
            </w:pPr>
            <w:r>
              <w:rPr>
                <w:rFonts w:cs="Arial"/>
                <w:b/>
                <w:bCs/>
                <w:sz w:val="20"/>
              </w:rPr>
              <w:t>Life insurance conversion</w:t>
            </w:r>
          </w:p>
          <w:p w14:paraId="64B29849" w14:textId="67DA4D97" w:rsidR="004436D3" w:rsidRDefault="004436D3" w:rsidP="0016788F">
            <w:pPr>
              <w:pStyle w:val="ListParagraph"/>
              <w:numPr>
                <w:ilvl w:val="0"/>
                <w:numId w:val="28"/>
              </w:numPr>
              <w:spacing w:before="120" w:after="120"/>
              <w:rPr>
                <w:rFonts w:cs="Arial"/>
                <w:b/>
                <w:bCs/>
                <w:sz w:val="20"/>
              </w:rPr>
            </w:pPr>
            <w:r>
              <w:rPr>
                <w:rFonts w:cs="Arial"/>
                <w:b/>
                <w:bCs/>
                <w:sz w:val="20"/>
              </w:rPr>
              <w:t>Sick leave accounts</w:t>
            </w:r>
          </w:p>
          <w:p w14:paraId="3CDF8E5F" w14:textId="77777777" w:rsidR="004436D3" w:rsidRDefault="004436D3" w:rsidP="0016788F">
            <w:pPr>
              <w:pStyle w:val="ListParagraph"/>
              <w:spacing w:before="120" w:after="120"/>
              <w:rPr>
                <w:rFonts w:cs="Arial"/>
                <w:b/>
                <w:bCs/>
                <w:sz w:val="20"/>
              </w:rPr>
            </w:pPr>
          </w:p>
          <w:p w14:paraId="4BA608F2" w14:textId="5C605827" w:rsidR="004436D3" w:rsidRPr="0016788F" w:rsidRDefault="004436D3" w:rsidP="0016788F">
            <w:pPr>
              <w:pStyle w:val="ListParagraph"/>
              <w:numPr>
                <w:ilvl w:val="0"/>
                <w:numId w:val="30"/>
              </w:numPr>
              <w:spacing w:before="120" w:after="120"/>
              <w:rPr>
                <w:rFonts w:cs="Arial"/>
                <w:b/>
                <w:bCs/>
                <w:sz w:val="20"/>
              </w:rPr>
            </w:pPr>
            <w:r>
              <w:rPr>
                <w:rFonts w:cs="Arial"/>
                <w:b/>
                <w:bCs/>
                <w:sz w:val="20"/>
              </w:rPr>
              <w:lastRenderedPageBreak/>
              <w:t>Y</w:t>
            </w:r>
            <w:r w:rsidRPr="0016788F">
              <w:rPr>
                <w:rFonts w:cs="Arial"/>
                <w:b/>
                <w:bCs/>
                <w:sz w:val="20"/>
              </w:rPr>
              <w:t>es</w:t>
            </w:r>
            <w:r>
              <w:rPr>
                <w:rFonts w:cs="Arial"/>
                <w:b/>
                <w:bCs/>
                <w:sz w:val="20"/>
              </w:rPr>
              <w:t>, ETF expects that all such files and data will be inputs to the consolidated billing process in the new IAS.</w:t>
            </w:r>
          </w:p>
        </w:tc>
      </w:tr>
      <w:tr w:rsidR="004436D3" w:rsidRPr="00E84936" w14:paraId="4DAC1272" w14:textId="77777777" w:rsidTr="00AC3150">
        <w:tc>
          <w:tcPr>
            <w:tcW w:w="720" w:type="dxa"/>
            <w:shd w:val="clear" w:color="auto" w:fill="DBE5F1" w:themeFill="accent1" w:themeFillTint="33"/>
          </w:tcPr>
          <w:p w14:paraId="379C2E66" w14:textId="77777777" w:rsidR="004436D3" w:rsidRPr="00E84936" w:rsidRDefault="004436D3" w:rsidP="00F61E1E">
            <w:pPr>
              <w:spacing w:before="120" w:after="120"/>
              <w:jc w:val="both"/>
              <w:rPr>
                <w:rFonts w:cs="Arial"/>
                <w:b/>
                <w:bCs/>
                <w:sz w:val="20"/>
              </w:rPr>
            </w:pPr>
            <w:bookmarkStart w:id="4" w:name="_Hlk36015777"/>
            <w:bookmarkEnd w:id="3"/>
            <w:r w:rsidRPr="00E84936">
              <w:rPr>
                <w:rFonts w:cs="Arial"/>
                <w:b/>
                <w:bCs/>
                <w:sz w:val="20"/>
              </w:rPr>
              <w:lastRenderedPageBreak/>
              <w:t>Q9</w:t>
            </w:r>
          </w:p>
        </w:tc>
        <w:tc>
          <w:tcPr>
            <w:tcW w:w="1710" w:type="dxa"/>
            <w:shd w:val="clear" w:color="auto" w:fill="DBE5F1" w:themeFill="accent1" w:themeFillTint="33"/>
          </w:tcPr>
          <w:p w14:paraId="7DACCC14" w14:textId="77777777" w:rsidR="004436D3" w:rsidRPr="00E84936" w:rsidRDefault="004436D3" w:rsidP="00F61E1E">
            <w:pPr>
              <w:spacing w:before="120" w:after="120"/>
              <w:jc w:val="both"/>
              <w:rPr>
                <w:rFonts w:cs="Arial"/>
                <w:b/>
                <w:bCs/>
                <w:sz w:val="20"/>
              </w:rPr>
            </w:pPr>
            <w:r w:rsidRPr="00E84936">
              <w:rPr>
                <w:rFonts w:eastAsia="Calibri" w:cs="Arial"/>
                <w:b/>
                <w:bCs/>
                <w:sz w:val="20"/>
              </w:rPr>
              <w:t>Appendix 7, #35</w:t>
            </w:r>
          </w:p>
        </w:tc>
        <w:tc>
          <w:tcPr>
            <w:tcW w:w="1710" w:type="dxa"/>
            <w:shd w:val="clear" w:color="auto" w:fill="DBE5F1" w:themeFill="accent1" w:themeFillTint="33"/>
          </w:tcPr>
          <w:p w14:paraId="691E10FA" w14:textId="77777777" w:rsidR="004436D3" w:rsidRPr="00E84936" w:rsidRDefault="004436D3" w:rsidP="00F61E1E">
            <w:pPr>
              <w:spacing w:before="120" w:after="120"/>
              <w:jc w:val="both"/>
              <w:rPr>
                <w:rFonts w:cs="Arial"/>
                <w:b/>
                <w:bCs/>
                <w:sz w:val="20"/>
              </w:rPr>
            </w:pPr>
            <w:r w:rsidRPr="00E84936">
              <w:rPr>
                <w:rFonts w:eastAsia="Calibri" w:cs="Arial"/>
                <w:b/>
                <w:bCs/>
                <w:sz w:val="20"/>
              </w:rPr>
              <w:t>4 of 28</w:t>
            </w:r>
          </w:p>
        </w:tc>
        <w:tc>
          <w:tcPr>
            <w:tcW w:w="3420" w:type="dxa"/>
            <w:shd w:val="clear" w:color="auto" w:fill="DBE5F1" w:themeFill="accent1" w:themeFillTint="33"/>
          </w:tcPr>
          <w:p w14:paraId="417E2E72" w14:textId="77777777" w:rsidR="004436D3" w:rsidRPr="00E84936" w:rsidRDefault="004436D3" w:rsidP="00F61E1E">
            <w:pPr>
              <w:spacing w:before="120" w:after="120"/>
              <w:rPr>
                <w:rFonts w:cs="Arial"/>
                <w:b/>
                <w:bCs/>
                <w:sz w:val="20"/>
              </w:rPr>
            </w:pPr>
            <w:r w:rsidRPr="00E84936">
              <w:rPr>
                <w:rFonts w:eastAsia="Calibri" w:cs="Arial"/>
                <w:b/>
                <w:bCs/>
                <w:sz w:val="20"/>
              </w:rPr>
              <w:t xml:space="preserve">Please clarify if ETF has custom life event requirements.  </w:t>
            </w:r>
          </w:p>
        </w:tc>
        <w:tc>
          <w:tcPr>
            <w:tcW w:w="5490" w:type="dxa"/>
            <w:shd w:val="clear" w:color="auto" w:fill="DBE5F1" w:themeFill="accent1" w:themeFillTint="33"/>
          </w:tcPr>
          <w:p w14:paraId="20C8AD46" w14:textId="7B72C21E" w:rsidR="004436D3" w:rsidRPr="00E84936" w:rsidRDefault="004436D3" w:rsidP="00F61E1E">
            <w:pPr>
              <w:spacing w:before="120" w:after="120"/>
              <w:rPr>
                <w:rFonts w:cs="Arial"/>
                <w:b/>
                <w:bCs/>
                <w:sz w:val="20"/>
              </w:rPr>
            </w:pPr>
            <w:r w:rsidRPr="00E84936">
              <w:rPr>
                <w:b/>
                <w:bCs/>
                <w:color w:val="000000"/>
                <w:sz w:val="20"/>
              </w:rPr>
              <w:t xml:space="preserve">ETF does </w:t>
            </w:r>
            <w:r>
              <w:rPr>
                <w:b/>
                <w:bCs/>
                <w:color w:val="000000"/>
                <w:sz w:val="20"/>
              </w:rPr>
              <w:t>utilize</w:t>
            </w:r>
            <w:r w:rsidRPr="00E84936">
              <w:rPr>
                <w:b/>
                <w:bCs/>
                <w:color w:val="000000"/>
                <w:sz w:val="20"/>
              </w:rPr>
              <w:t xml:space="preserve"> some custom life events beyond what is required under the law. See</w:t>
            </w:r>
            <w:r>
              <w:rPr>
                <w:b/>
                <w:bCs/>
                <w:color w:val="000000"/>
                <w:sz w:val="20"/>
              </w:rPr>
              <w:t xml:space="preserve"> the following for more details</w:t>
            </w:r>
            <w:r w:rsidRPr="00E84936">
              <w:rPr>
                <w:b/>
                <w:bCs/>
                <w:color w:val="000000"/>
                <w:sz w:val="20"/>
              </w:rPr>
              <w:t>:</w:t>
            </w:r>
            <w:r w:rsidRPr="00E84936">
              <w:rPr>
                <w:b/>
                <w:bCs/>
                <w:color w:val="000000"/>
              </w:rPr>
              <w:t xml:space="preserve"> </w:t>
            </w:r>
            <w:hyperlink r:id="rId13" w:history="1">
              <w:r w:rsidRPr="00E84936">
                <w:rPr>
                  <w:rStyle w:val="Hyperlink"/>
                  <w:rFonts w:eastAsiaTheme="majorEastAsia"/>
                  <w:b/>
                  <w:bCs/>
                </w:rPr>
                <w:t>https://etf.wi.gov/its-your-choice/2020/state-employee-retiree-health-plan/how-choose-enroll-your-benefits/life-events-guide</w:t>
              </w:r>
            </w:hyperlink>
          </w:p>
        </w:tc>
      </w:tr>
      <w:tr w:rsidR="004436D3" w:rsidRPr="00763140" w14:paraId="5E721182" w14:textId="77777777" w:rsidTr="00AC3150">
        <w:tc>
          <w:tcPr>
            <w:tcW w:w="720" w:type="dxa"/>
            <w:shd w:val="clear" w:color="auto" w:fill="EEECE1" w:themeFill="background2"/>
          </w:tcPr>
          <w:p w14:paraId="5D4C8C35" w14:textId="77777777" w:rsidR="004436D3" w:rsidRPr="00763140" w:rsidRDefault="004436D3" w:rsidP="00F61E1E">
            <w:pPr>
              <w:spacing w:before="120" w:after="120"/>
              <w:jc w:val="both"/>
              <w:rPr>
                <w:rFonts w:cs="Arial"/>
                <w:b/>
                <w:bCs/>
                <w:sz w:val="20"/>
              </w:rPr>
            </w:pPr>
            <w:bookmarkStart w:id="5" w:name="_Hlk35285015"/>
            <w:bookmarkEnd w:id="4"/>
            <w:r w:rsidRPr="00763140">
              <w:rPr>
                <w:rFonts w:cs="Arial"/>
                <w:b/>
                <w:bCs/>
                <w:sz w:val="20"/>
              </w:rPr>
              <w:t>Q10</w:t>
            </w:r>
          </w:p>
        </w:tc>
        <w:tc>
          <w:tcPr>
            <w:tcW w:w="1710" w:type="dxa"/>
            <w:shd w:val="clear" w:color="auto" w:fill="EEECE1" w:themeFill="background2"/>
          </w:tcPr>
          <w:p w14:paraId="5CABC390" w14:textId="77777777" w:rsidR="004436D3" w:rsidRPr="00763140" w:rsidRDefault="004436D3" w:rsidP="00F61E1E">
            <w:pPr>
              <w:spacing w:before="120" w:after="120"/>
              <w:jc w:val="both"/>
              <w:rPr>
                <w:rFonts w:cs="Arial"/>
                <w:b/>
                <w:bCs/>
                <w:sz w:val="20"/>
              </w:rPr>
            </w:pPr>
            <w:r w:rsidRPr="00763140">
              <w:rPr>
                <w:rFonts w:eastAsia="Calibri" w:cs="Arial"/>
                <w:b/>
                <w:bCs/>
                <w:sz w:val="20"/>
              </w:rPr>
              <w:t>Appendix 7, #37</w:t>
            </w:r>
          </w:p>
        </w:tc>
        <w:tc>
          <w:tcPr>
            <w:tcW w:w="1710" w:type="dxa"/>
            <w:shd w:val="clear" w:color="auto" w:fill="EEECE1" w:themeFill="background2"/>
          </w:tcPr>
          <w:p w14:paraId="447A643F" w14:textId="77777777" w:rsidR="004436D3" w:rsidRPr="00763140" w:rsidRDefault="004436D3" w:rsidP="00F61E1E">
            <w:pPr>
              <w:spacing w:before="120" w:after="120"/>
              <w:jc w:val="both"/>
              <w:rPr>
                <w:rFonts w:cs="Arial"/>
                <w:b/>
                <w:bCs/>
                <w:sz w:val="20"/>
              </w:rPr>
            </w:pPr>
            <w:r w:rsidRPr="00763140">
              <w:rPr>
                <w:rFonts w:eastAsia="Calibri" w:cs="Arial"/>
                <w:b/>
                <w:bCs/>
                <w:sz w:val="20"/>
              </w:rPr>
              <w:t>4 of 28</w:t>
            </w:r>
          </w:p>
        </w:tc>
        <w:tc>
          <w:tcPr>
            <w:tcW w:w="3420" w:type="dxa"/>
            <w:shd w:val="clear" w:color="auto" w:fill="EEECE1" w:themeFill="background2"/>
          </w:tcPr>
          <w:p w14:paraId="2664A52C" w14:textId="77777777" w:rsidR="004436D3" w:rsidRPr="00763140" w:rsidRDefault="004436D3" w:rsidP="00F61E1E">
            <w:pPr>
              <w:spacing w:before="120" w:after="120"/>
              <w:rPr>
                <w:rFonts w:eastAsia="Calibri" w:cs="Arial"/>
                <w:b/>
                <w:bCs/>
                <w:sz w:val="20"/>
              </w:rPr>
            </w:pPr>
            <w:r w:rsidRPr="00763140">
              <w:rPr>
                <w:rFonts w:eastAsia="Calibri" w:cs="Arial"/>
                <w:b/>
                <w:bCs/>
                <w:sz w:val="20"/>
              </w:rPr>
              <w:t>Please describe typical “split contracts” use case for this functionality.</w:t>
            </w:r>
          </w:p>
        </w:tc>
        <w:tc>
          <w:tcPr>
            <w:tcW w:w="5490" w:type="dxa"/>
            <w:shd w:val="clear" w:color="auto" w:fill="EEECE1" w:themeFill="background2"/>
          </w:tcPr>
          <w:p w14:paraId="6D12F6EC" w14:textId="77777777" w:rsidR="004436D3" w:rsidRDefault="004436D3" w:rsidP="00F61E1E">
            <w:pPr>
              <w:spacing w:before="120" w:after="120"/>
              <w:rPr>
                <w:rFonts w:cs="Arial"/>
                <w:b/>
                <w:bCs/>
                <w:sz w:val="20"/>
              </w:rPr>
            </w:pPr>
            <w:r>
              <w:rPr>
                <w:rFonts w:cs="Arial"/>
                <w:b/>
                <w:bCs/>
                <w:sz w:val="20"/>
              </w:rPr>
              <w:t>In general, subscribers may select any one health insurance plan listed in the Decision Guide to provide coverage for themselves and their dependents. The only exception is for retirees with split contracts (where one or more covered individuals have Medicare and one or more covered individuals do not). Such retirees may elect two (2) medical plans, of which one is a Medicare plan and the other is any other plan listed in the Decision Guide.</w:t>
            </w:r>
          </w:p>
          <w:p w14:paraId="7E214C1E" w14:textId="1A798647" w:rsidR="004436D3" w:rsidRPr="00763140" w:rsidRDefault="004436D3" w:rsidP="00F61E1E">
            <w:pPr>
              <w:spacing w:before="120" w:after="120"/>
              <w:rPr>
                <w:rFonts w:cs="Arial"/>
                <w:b/>
                <w:bCs/>
                <w:sz w:val="20"/>
                <w:highlight w:val="yellow"/>
              </w:rPr>
            </w:pPr>
            <w:r>
              <w:rPr>
                <w:rFonts w:cs="Arial"/>
                <w:b/>
                <w:bCs/>
                <w:sz w:val="20"/>
              </w:rPr>
              <w:t>Typically, under a split contract, the individuals covered by the Medicare plan have different benefits from their family members under the non-Medicare plan.</w:t>
            </w:r>
          </w:p>
        </w:tc>
      </w:tr>
      <w:tr w:rsidR="004436D3" w:rsidRPr="008F2AE4" w14:paraId="2584FCEC" w14:textId="77777777" w:rsidTr="00AC3150">
        <w:tc>
          <w:tcPr>
            <w:tcW w:w="720" w:type="dxa"/>
            <w:shd w:val="clear" w:color="auto" w:fill="DBE5F1" w:themeFill="accent1" w:themeFillTint="33"/>
          </w:tcPr>
          <w:p w14:paraId="591696BF" w14:textId="77777777" w:rsidR="004436D3" w:rsidRPr="008F2AE4" w:rsidRDefault="004436D3" w:rsidP="00F61E1E">
            <w:pPr>
              <w:spacing w:before="120" w:after="120"/>
              <w:jc w:val="both"/>
              <w:rPr>
                <w:rFonts w:cs="Arial"/>
                <w:b/>
                <w:bCs/>
                <w:sz w:val="20"/>
              </w:rPr>
            </w:pPr>
            <w:bookmarkStart w:id="6" w:name="_Hlk35290003"/>
            <w:bookmarkEnd w:id="5"/>
            <w:r w:rsidRPr="008F2AE4">
              <w:rPr>
                <w:rFonts w:cs="Arial"/>
                <w:b/>
                <w:bCs/>
                <w:sz w:val="20"/>
              </w:rPr>
              <w:t>Q11</w:t>
            </w:r>
          </w:p>
        </w:tc>
        <w:tc>
          <w:tcPr>
            <w:tcW w:w="1710" w:type="dxa"/>
            <w:shd w:val="clear" w:color="auto" w:fill="DBE5F1" w:themeFill="accent1" w:themeFillTint="33"/>
          </w:tcPr>
          <w:p w14:paraId="52A1F427" w14:textId="77777777" w:rsidR="004436D3" w:rsidRPr="008F2AE4" w:rsidRDefault="004436D3" w:rsidP="00F61E1E">
            <w:pPr>
              <w:spacing w:before="120" w:after="120"/>
              <w:jc w:val="both"/>
              <w:rPr>
                <w:rFonts w:cs="Arial"/>
                <w:b/>
                <w:bCs/>
                <w:sz w:val="20"/>
              </w:rPr>
            </w:pPr>
            <w:r w:rsidRPr="008F2AE4">
              <w:rPr>
                <w:rFonts w:eastAsia="Calibri" w:cs="Arial"/>
                <w:b/>
                <w:bCs/>
                <w:sz w:val="20"/>
              </w:rPr>
              <w:t>Appendix 7, #44</w:t>
            </w:r>
          </w:p>
        </w:tc>
        <w:tc>
          <w:tcPr>
            <w:tcW w:w="1710" w:type="dxa"/>
            <w:shd w:val="clear" w:color="auto" w:fill="DBE5F1" w:themeFill="accent1" w:themeFillTint="33"/>
          </w:tcPr>
          <w:p w14:paraId="2A20630C" w14:textId="77777777" w:rsidR="004436D3" w:rsidRPr="008F2AE4" w:rsidRDefault="004436D3" w:rsidP="00F61E1E">
            <w:pPr>
              <w:spacing w:before="120" w:after="120"/>
              <w:jc w:val="both"/>
              <w:rPr>
                <w:rFonts w:cs="Arial"/>
                <w:b/>
                <w:bCs/>
                <w:sz w:val="20"/>
              </w:rPr>
            </w:pPr>
            <w:r w:rsidRPr="008F2AE4">
              <w:rPr>
                <w:rFonts w:eastAsia="Calibri" w:cs="Arial"/>
                <w:b/>
                <w:bCs/>
                <w:sz w:val="20"/>
              </w:rPr>
              <w:t>5 of 28</w:t>
            </w:r>
          </w:p>
        </w:tc>
        <w:tc>
          <w:tcPr>
            <w:tcW w:w="3420" w:type="dxa"/>
            <w:shd w:val="clear" w:color="auto" w:fill="DBE5F1" w:themeFill="accent1" w:themeFillTint="33"/>
          </w:tcPr>
          <w:p w14:paraId="378485E6" w14:textId="77777777" w:rsidR="004436D3" w:rsidRPr="008F2AE4" w:rsidRDefault="004436D3" w:rsidP="00F61E1E">
            <w:pPr>
              <w:spacing w:before="120" w:after="120"/>
              <w:rPr>
                <w:rFonts w:cs="Arial"/>
                <w:b/>
                <w:bCs/>
                <w:sz w:val="20"/>
              </w:rPr>
            </w:pPr>
            <w:r w:rsidRPr="008F2AE4">
              <w:rPr>
                <w:rFonts w:eastAsia="Calibri" w:cs="Arial"/>
                <w:b/>
                <w:bCs/>
                <w:sz w:val="20"/>
              </w:rPr>
              <w:t>Please define “Medicare coverage,” including the type of plan(s) in which ETF subscribers are enrolled.</w:t>
            </w:r>
          </w:p>
        </w:tc>
        <w:tc>
          <w:tcPr>
            <w:tcW w:w="5490" w:type="dxa"/>
            <w:shd w:val="clear" w:color="auto" w:fill="DBE5F1" w:themeFill="accent1" w:themeFillTint="33"/>
          </w:tcPr>
          <w:p w14:paraId="0C18378D" w14:textId="39E68FBC" w:rsidR="004436D3" w:rsidRPr="008F2AE4" w:rsidRDefault="004436D3" w:rsidP="008F2AE4">
            <w:pPr>
              <w:spacing w:before="120" w:after="120"/>
              <w:rPr>
                <w:rFonts w:ascii="Calibri" w:hAnsi="Calibri"/>
                <w:b/>
                <w:bCs/>
                <w:color w:val="000000"/>
                <w:sz w:val="20"/>
              </w:rPr>
            </w:pPr>
            <w:r w:rsidRPr="008F2AE4">
              <w:rPr>
                <w:b/>
                <w:bCs/>
                <w:color w:val="000000"/>
                <w:sz w:val="20"/>
              </w:rPr>
              <w:t xml:space="preserve">ETF has a VDSA with Medicare through which Medicare regularly transmits eligibility and enrollment information to ETF. This data is incorporated into ETF systems, regardless of the covered individual’s age. </w:t>
            </w:r>
            <w:r>
              <w:rPr>
                <w:b/>
                <w:bCs/>
                <w:color w:val="000000"/>
                <w:sz w:val="20"/>
              </w:rPr>
              <w:t xml:space="preserve">This </w:t>
            </w:r>
            <w:r w:rsidRPr="008F2AE4">
              <w:rPr>
                <w:b/>
                <w:bCs/>
                <w:color w:val="000000"/>
                <w:sz w:val="20"/>
              </w:rPr>
              <w:t xml:space="preserve">Medicare coverage information appears in employee and retiree groups, as applicable. </w:t>
            </w:r>
          </w:p>
          <w:p w14:paraId="7211876B" w14:textId="0BB6CC09" w:rsidR="004436D3" w:rsidRPr="008F2AE4" w:rsidRDefault="004436D3" w:rsidP="008F2AE4">
            <w:pPr>
              <w:spacing w:before="120" w:after="120"/>
              <w:rPr>
                <w:rFonts w:cs="Arial"/>
                <w:b/>
                <w:bCs/>
                <w:sz w:val="20"/>
              </w:rPr>
            </w:pPr>
            <w:r w:rsidRPr="008F2AE4">
              <w:rPr>
                <w:b/>
                <w:bCs/>
                <w:color w:val="000000"/>
                <w:sz w:val="20"/>
              </w:rPr>
              <w:t>For Coordination of Benefits with Medicare, Medicare is almost always primary for retiree groups. For members enrolled in employee groups, Medicare is typically secondary under Medicare Secondary Payer rules.</w:t>
            </w:r>
          </w:p>
        </w:tc>
      </w:tr>
      <w:tr w:rsidR="004436D3" w:rsidRPr="007929E9" w14:paraId="0F59A498" w14:textId="77777777" w:rsidTr="00AC3150">
        <w:tc>
          <w:tcPr>
            <w:tcW w:w="720" w:type="dxa"/>
            <w:shd w:val="clear" w:color="auto" w:fill="EEECE1" w:themeFill="background2"/>
          </w:tcPr>
          <w:p w14:paraId="79E7B6AF" w14:textId="77777777" w:rsidR="004436D3" w:rsidRPr="007929E9" w:rsidRDefault="004436D3" w:rsidP="00F61E1E">
            <w:pPr>
              <w:spacing w:before="120" w:after="120"/>
              <w:jc w:val="both"/>
              <w:rPr>
                <w:rFonts w:cs="Arial"/>
                <w:b/>
                <w:bCs/>
                <w:sz w:val="20"/>
              </w:rPr>
            </w:pPr>
            <w:bookmarkStart w:id="7" w:name="_Hlk36105730"/>
            <w:bookmarkEnd w:id="6"/>
            <w:r w:rsidRPr="007929E9">
              <w:rPr>
                <w:rFonts w:cs="Arial"/>
                <w:b/>
                <w:bCs/>
                <w:sz w:val="20"/>
              </w:rPr>
              <w:lastRenderedPageBreak/>
              <w:t>Q12</w:t>
            </w:r>
          </w:p>
        </w:tc>
        <w:tc>
          <w:tcPr>
            <w:tcW w:w="1710" w:type="dxa"/>
            <w:shd w:val="clear" w:color="auto" w:fill="EEECE1" w:themeFill="background2"/>
          </w:tcPr>
          <w:p w14:paraId="49584651" w14:textId="77777777" w:rsidR="004436D3" w:rsidRPr="007929E9" w:rsidRDefault="004436D3" w:rsidP="00F61E1E">
            <w:pPr>
              <w:spacing w:before="120" w:after="120"/>
              <w:jc w:val="both"/>
              <w:rPr>
                <w:rFonts w:cs="Arial"/>
                <w:b/>
                <w:bCs/>
                <w:sz w:val="20"/>
              </w:rPr>
            </w:pPr>
            <w:r w:rsidRPr="007929E9">
              <w:rPr>
                <w:rFonts w:eastAsia="Calibri" w:cs="Arial"/>
                <w:b/>
                <w:bCs/>
                <w:sz w:val="20"/>
              </w:rPr>
              <w:t>Appendix 7, #56-60</w:t>
            </w:r>
          </w:p>
        </w:tc>
        <w:tc>
          <w:tcPr>
            <w:tcW w:w="1710" w:type="dxa"/>
            <w:shd w:val="clear" w:color="auto" w:fill="EEECE1" w:themeFill="background2"/>
          </w:tcPr>
          <w:p w14:paraId="5A8E7D3F" w14:textId="77777777" w:rsidR="004436D3" w:rsidRPr="007929E9" w:rsidRDefault="004436D3" w:rsidP="00F61E1E">
            <w:pPr>
              <w:spacing w:before="120" w:after="120"/>
              <w:jc w:val="both"/>
              <w:rPr>
                <w:rFonts w:cs="Arial"/>
                <w:b/>
                <w:bCs/>
                <w:sz w:val="20"/>
              </w:rPr>
            </w:pPr>
            <w:r w:rsidRPr="007929E9">
              <w:rPr>
                <w:rFonts w:eastAsia="Calibri" w:cs="Arial"/>
                <w:b/>
                <w:bCs/>
                <w:sz w:val="20"/>
              </w:rPr>
              <w:t>6 of 28</w:t>
            </w:r>
          </w:p>
        </w:tc>
        <w:tc>
          <w:tcPr>
            <w:tcW w:w="3420" w:type="dxa"/>
            <w:shd w:val="clear" w:color="auto" w:fill="EEECE1" w:themeFill="background2"/>
          </w:tcPr>
          <w:p w14:paraId="2767C257" w14:textId="77777777" w:rsidR="004436D3" w:rsidRPr="007929E9" w:rsidRDefault="004436D3" w:rsidP="00F61E1E">
            <w:pPr>
              <w:spacing w:before="120" w:after="120"/>
              <w:rPr>
                <w:rFonts w:cs="Arial"/>
                <w:b/>
                <w:bCs/>
                <w:sz w:val="20"/>
              </w:rPr>
            </w:pPr>
            <w:r w:rsidRPr="007929E9">
              <w:rPr>
                <w:rFonts w:eastAsia="Calibri" w:cs="Arial"/>
                <w:b/>
                <w:bCs/>
                <w:sz w:val="20"/>
              </w:rPr>
              <w:t>Please describe ETF’s current Funds Management processes relative to the requirements described here (#56-60), including client-owned bank account interaction.</w:t>
            </w:r>
          </w:p>
        </w:tc>
        <w:tc>
          <w:tcPr>
            <w:tcW w:w="5490" w:type="dxa"/>
            <w:shd w:val="clear" w:color="auto" w:fill="EEECE1" w:themeFill="background2"/>
          </w:tcPr>
          <w:p w14:paraId="76F0ECD6" w14:textId="74293C70" w:rsidR="004436D3" w:rsidRPr="007929E9" w:rsidRDefault="004436D3" w:rsidP="00F61E1E">
            <w:pPr>
              <w:spacing w:before="120" w:after="120"/>
              <w:rPr>
                <w:rFonts w:cs="Arial"/>
                <w:b/>
                <w:bCs/>
                <w:sz w:val="20"/>
              </w:rPr>
            </w:pPr>
            <w:r w:rsidRPr="007929E9">
              <w:rPr>
                <w:rFonts w:cs="Arial"/>
                <w:b/>
                <w:bCs/>
                <w:sz w:val="20"/>
              </w:rPr>
              <w:t xml:space="preserve">Today, our funds management processes cross many systems and are often manual and disjointed. We are interested in any capabilities the Proposer’s system </w:t>
            </w:r>
            <w:r>
              <w:rPr>
                <w:rFonts w:cs="Arial"/>
                <w:b/>
                <w:bCs/>
                <w:sz w:val="20"/>
              </w:rPr>
              <w:t xml:space="preserve">may </w:t>
            </w:r>
            <w:r w:rsidRPr="007929E9">
              <w:rPr>
                <w:rFonts w:cs="Arial"/>
                <w:b/>
                <w:bCs/>
                <w:sz w:val="20"/>
              </w:rPr>
              <w:t xml:space="preserve">offer to streamline, enhance, automate, and otherwise make these processes more efficient. </w:t>
            </w:r>
          </w:p>
          <w:p w14:paraId="7E27966F" w14:textId="6AB33649" w:rsidR="004436D3" w:rsidRPr="007929E9" w:rsidRDefault="004436D3" w:rsidP="005236F6">
            <w:pPr>
              <w:spacing w:before="120" w:after="120"/>
              <w:rPr>
                <w:rFonts w:cs="Arial"/>
                <w:b/>
                <w:bCs/>
                <w:sz w:val="20"/>
              </w:rPr>
            </w:pPr>
            <w:r w:rsidRPr="007929E9">
              <w:rPr>
                <w:rFonts w:cs="Arial"/>
                <w:b/>
                <w:bCs/>
                <w:sz w:val="20"/>
              </w:rPr>
              <w:t xml:space="preserve">Currently, health insurance rates are loaded in MEBS, our existing health insurance system, which generates invoices notifying employers what to pay. See answer to question Q7 for more details. Employers are automatically notified via email when certain financial-related situations occur, such as when invoices are generated, updated or accepted; when payments are accepted or rejected, etc. </w:t>
            </w:r>
          </w:p>
          <w:p w14:paraId="0663AB8E" w14:textId="547B0C7A" w:rsidR="004436D3" w:rsidRPr="007929E9" w:rsidRDefault="004436D3" w:rsidP="00F61E1E">
            <w:pPr>
              <w:spacing w:before="120" w:after="120"/>
              <w:rPr>
                <w:rFonts w:cs="Arial"/>
                <w:b/>
                <w:bCs/>
                <w:sz w:val="20"/>
              </w:rPr>
            </w:pPr>
            <w:r w:rsidRPr="007929E9">
              <w:rPr>
                <w:rFonts w:cs="Arial"/>
                <w:b/>
                <w:bCs/>
                <w:sz w:val="20"/>
              </w:rPr>
              <w:t>Employers then log into MEBS, from where they are directed to US Bank’s ePay site to make payment. The bank returns a daily file to ETF with payment data for processing.</w:t>
            </w:r>
          </w:p>
          <w:p w14:paraId="65384B3F" w14:textId="56FDD2EF" w:rsidR="004436D3" w:rsidRPr="007929E9" w:rsidRDefault="004436D3" w:rsidP="0073193A">
            <w:pPr>
              <w:spacing w:before="120" w:after="120"/>
              <w:rPr>
                <w:rFonts w:cs="Arial"/>
                <w:b/>
                <w:bCs/>
                <w:sz w:val="20"/>
              </w:rPr>
            </w:pPr>
            <w:r w:rsidRPr="007929E9">
              <w:rPr>
                <w:rFonts w:cs="Arial"/>
                <w:b/>
                <w:bCs/>
                <w:sz w:val="20"/>
              </w:rPr>
              <w:t xml:space="preserve">ETF is </w:t>
            </w:r>
            <w:r>
              <w:rPr>
                <w:rFonts w:cs="Arial"/>
                <w:b/>
                <w:bCs/>
                <w:sz w:val="20"/>
              </w:rPr>
              <w:t>interested in any capabilities the Proposer’s system offers to facilitate a l</w:t>
            </w:r>
            <w:r w:rsidRPr="007929E9">
              <w:rPr>
                <w:rFonts w:cs="Arial"/>
                <w:b/>
                <w:bCs/>
                <w:sz w:val="20"/>
              </w:rPr>
              <w:t xml:space="preserve">ink or </w:t>
            </w:r>
            <w:r>
              <w:rPr>
                <w:rFonts w:cs="Arial"/>
                <w:b/>
                <w:bCs/>
                <w:sz w:val="20"/>
              </w:rPr>
              <w:t xml:space="preserve">similar </w:t>
            </w:r>
            <w:r w:rsidRPr="007929E9">
              <w:rPr>
                <w:rFonts w:cs="Arial"/>
                <w:b/>
                <w:bCs/>
                <w:sz w:val="20"/>
              </w:rPr>
              <w:t xml:space="preserve">connection to US Bank’s ePay site for employers to make their payments, as well as an interface that feeds invoice and payment data between IAS and US Bank. </w:t>
            </w:r>
            <w:r>
              <w:rPr>
                <w:rFonts w:cs="Arial"/>
                <w:b/>
                <w:bCs/>
                <w:sz w:val="20"/>
              </w:rPr>
              <w:t>We’re interested in</w:t>
            </w:r>
            <w:r w:rsidRPr="007929E9">
              <w:rPr>
                <w:rFonts w:cs="Arial"/>
                <w:b/>
                <w:bCs/>
                <w:sz w:val="20"/>
              </w:rPr>
              <w:t xml:space="preserve"> invoice totals </w:t>
            </w:r>
            <w:r>
              <w:rPr>
                <w:rFonts w:cs="Arial"/>
                <w:b/>
                <w:bCs/>
                <w:sz w:val="20"/>
              </w:rPr>
              <w:t>l</w:t>
            </w:r>
            <w:r w:rsidRPr="007929E9">
              <w:rPr>
                <w:rFonts w:cs="Arial"/>
                <w:b/>
                <w:bCs/>
                <w:sz w:val="20"/>
              </w:rPr>
              <w:t>ock</w:t>
            </w:r>
            <w:r>
              <w:rPr>
                <w:rFonts w:cs="Arial"/>
                <w:b/>
                <w:bCs/>
                <w:sz w:val="20"/>
              </w:rPr>
              <w:t>ing</w:t>
            </w:r>
            <w:r w:rsidRPr="007929E9">
              <w:rPr>
                <w:rFonts w:cs="Arial"/>
                <w:b/>
                <w:bCs/>
                <w:sz w:val="20"/>
              </w:rPr>
              <w:t xml:space="preserve"> after interfacing to US Bank so employers can’t make changes. In addition, employer payment account info must be stored in compliance with recent NACHA rule changes. </w:t>
            </w:r>
          </w:p>
          <w:p w14:paraId="52973F06" w14:textId="080DE558" w:rsidR="004436D3" w:rsidRPr="007929E9" w:rsidRDefault="004436D3" w:rsidP="00F61E1E">
            <w:pPr>
              <w:spacing w:before="120" w:after="120"/>
              <w:rPr>
                <w:rFonts w:cs="Arial"/>
                <w:b/>
                <w:bCs/>
                <w:sz w:val="20"/>
              </w:rPr>
            </w:pPr>
            <w:r w:rsidRPr="007929E9">
              <w:rPr>
                <w:rFonts w:cs="Arial"/>
                <w:b/>
                <w:bCs/>
                <w:sz w:val="20"/>
              </w:rPr>
              <w:t xml:space="preserve">We are </w:t>
            </w:r>
            <w:r>
              <w:rPr>
                <w:rFonts w:cs="Arial"/>
                <w:b/>
                <w:bCs/>
                <w:sz w:val="20"/>
              </w:rPr>
              <w:t xml:space="preserve">interested in any Proposer capabilities </w:t>
            </w:r>
            <w:r w:rsidRPr="007929E9">
              <w:rPr>
                <w:rFonts w:cs="Arial"/>
                <w:b/>
                <w:bCs/>
                <w:sz w:val="20"/>
              </w:rPr>
              <w:t>to provide these and other types of enhanced funds management capabilities, including the compilation and display of financial-related information for all insurance benefits, regardless of who/which system generates the invoices and captures premium payments, in a comprehensive, cohesive view.</w:t>
            </w:r>
          </w:p>
        </w:tc>
      </w:tr>
      <w:tr w:rsidR="004436D3" w:rsidRPr="00507BDA" w14:paraId="4AA3F5F0" w14:textId="77777777" w:rsidTr="00AC3150">
        <w:tc>
          <w:tcPr>
            <w:tcW w:w="720" w:type="dxa"/>
            <w:shd w:val="clear" w:color="auto" w:fill="DBE5F1" w:themeFill="accent1" w:themeFillTint="33"/>
          </w:tcPr>
          <w:p w14:paraId="7D0C25C5" w14:textId="77777777" w:rsidR="004436D3" w:rsidRPr="00507BDA" w:rsidRDefault="004436D3" w:rsidP="00F61E1E">
            <w:pPr>
              <w:spacing w:before="120" w:after="120"/>
              <w:jc w:val="both"/>
              <w:rPr>
                <w:rFonts w:cs="Arial"/>
                <w:b/>
                <w:bCs/>
                <w:sz w:val="20"/>
              </w:rPr>
            </w:pPr>
            <w:bookmarkStart w:id="8" w:name="_Hlk36107198"/>
            <w:bookmarkEnd w:id="7"/>
            <w:r w:rsidRPr="00507BDA">
              <w:rPr>
                <w:rFonts w:cs="Arial"/>
                <w:b/>
                <w:bCs/>
                <w:sz w:val="20"/>
              </w:rPr>
              <w:lastRenderedPageBreak/>
              <w:t>Q13</w:t>
            </w:r>
          </w:p>
        </w:tc>
        <w:tc>
          <w:tcPr>
            <w:tcW w:w="1710" w:type="dxa"/>
            <w:shd w:val="clear" w:color="auto" w:fill="DBE5F1" w:themeFill="accent1" w:themeFillTint="33"/>
          </w:tcPr>
          <w:p w14:paraId="5611EC81" w14:textId="77777777" w:rsidR="004436D3" w:rsidRPr="00507BDA" w:rsidRDefault="004436D3" w:rsidP="00F61E1E">
            <w:pPr>
              <w:spacing w:before="120" w:after="120"/>
              <w:jc w:val="both"/>
              <w:rPr>
                <w:rFonts w:cs="Arial"/>
                <w:b/>
                <w:bCs/>
                <w:sz w:val="20"/>
              </w:rPr>
            </w:pPr>
            <w:r w:rsidRPr="00507BDA">
              <w:rPr>
                <w:rFonts w:eastAsia="Calibri" w:cs="Arial"/>
                <w:b/>
                <w:bCs/>
                <w:sz w:val="20"/>
              </w:rPr>
              <w:t>Appendix 7, #65</w:t>
            </w:r>
          </w:p>
        </w:tc>
        <w:tc>
          <w:tcPr>
            <w:tcW w:w="1710" w:type="dxa"/>
            <w:shd w:val="clear" w:color="auto" w:fill="DBE5F1" w:themeFill="accent1" w:themeFillTint="33"/>
          </w:tcPr>
          <w:p w14:paraId="08AAE71C" w14:textId="77777777" w:rsidR="004436D3" w:rsidRPr="00507BDA" w:rsidRDefault="004436D3" w:rsidP="00F61E1E">
            <w:pPr>
              <w:spacing w:before="120" w:after="120"/>
              <w:jc w:val="both"/>
              <w:rPr>
                <w:rFonts w:cs="Arial"/>
                <w:b/>
                <w:bCs/>
                <w:sz w:val="20"/>
              </w:rPr>
            </w:pPr>
            <w:r w:rsidRPr="00507BDA">
              <w:rPr>
                <w:rFonts w:eastAsia="Calibri" w:cs="Arial"/>
                <w:b/>
                <w:bCs/>
                <w:sz w:val="20"/>
              </w:rPr>
              <w:t>6 of 28</w:t>
            </w:r>
          </w:p>
        </w:tc>
        <w:tc>
          <w:tcPr>
            <w:tcW w:w="3420" w:type="dxa"/>
            <w:shd w:val="clear" w:color="auto" w:fill="DBE5F1" w:themeFill="accent1" w:themeFillTint="33"/>
          </w:tcPr>
          <w:p w14:paraId="1F70D346" w14:textId="77777777" w:rsidR="004436D3" w:rsidRPr="00507BDA" w:rsidRDefault="004436D3" w:rsidP="005B6FF8">
            <w:pPr>
              <w:pStyle w:val="ListParagraph"/>
              <w:numPr>
                <w:ilvl w:val="0"/>
                <w:numId w:val="11"/>
              </w:numPr>
              <w:spacing w:before="120" w:after="120"/>
              <w:rPr>
                <w:rFonts w:eastAsia="Calibri" w:cs="Arial"/>
                <w:b/>
                <w:bCs/>
                <w:sz w:val="20"/>
              </w:rPr>
            </w:pPr>
            <w:r w:rsidRPr="00507BDA">
              <w:rPr>
                <w:rFonts w:eastAsia="Calibri" w:cs="Arial"/>
                <w:b/>
                <w:bCs/>
                <w:sz w:val="20"/>
              </w:rPr>
              <w:t>Please describe current lockbox ownership relative to ETF COBRA and Consolidated Billing administration.</w:t>
            </w:r>
          </w:p>
          <w:p w14:paraId="4665DD73" w14:textId="77777777" w:rsidR="004436D3" w:rsidRPr="00507BDA" w:rsidRDefault="004436D3" w:rsidP="005B6FF8">
            <w:pPr>
              <w:pStyle w:val="ListParagraph"/>
              <w:numPr>
                <w:ilvl w:val="0"/>
                <w:numId w:val="11"/>
              </w:numPr>
              <w:spacing w:before="120" w:after="120"/>
              <w:rPr>
                <w:rFonts w:cs="Arial"/>
                <w:b/>
                <w:bCs/>
                <w:sz w:val="20"/>
              </w:rPr>
            </w:pPr>
            <w:r w:rsidRPr="00507BDA">
              <w:rPr>
                <w:rFonts w:cs="Arial"/>
                <w:b/>
                <w:bCs/>
                <w:sz w:val="20"/>
              </w:rPr>
              <w:t>Please define “other sources” referenced.</w:t>
            </w:r>
          </w:p>
        </w:tc>
        <w:tc>
          <w:tcPr>
            <w:tcW w:w="5490" w:type="dxa"/>
            <w:shd w:val="clear" w:color="auto" w:fill="DBE5F1" w:themeFill="accent1" w:themeFillTint="33"/>
          </w:tcPr>
          <w:p w14:paraId="1FE7151A" w14:textId="14A01D17" w:rsidR="004436D3" w:rsidRDefault="004436D3" w:rsidP="009C3034">
            <w:pPr>
              <w:pStyle w:val="ListParagraph"/>
              <w:numPr>
                <w:ilvl w:val="0"/>
                <w:numId w:val="31"/>
              </w:numPr>
              <w:spacing w:before="120" w:after="120"/>
              <w:rPr>
                <w:rFonts w:cs="Arial"/>
                <w:b/>
                <w:bCs/>
                <w:sz w:val="20"/>
              </w:rPr>
            </w:pPr>
            <w:r w:rsidRPr="009C3034">
              <w:rPr>
                <w:rFonts w:cs="Arial"/>
                <w:b/>
                <w:bCs/>
                <w:sz w:val="20"/>
              </w:rPr>
              <w:t>Today, health plans generate bills to COBRA participants and collect premium payments directly</w:t>
            </w:r>
            <w:r>
              <w:rPr>
                <w:rFonts w:cs="Arial"/>
                <w:b/>
                <w:bCs/>
                <w:sz w:val="20"/>
              </w:rPr>
              <w:t xml:space="preserve"> from those subscribers</w:t>
            </w:r>
            <w:r w:rsidRPr="009C3034">
              <w:rPr>
                <w:rFonts w:cs="Arial"/>
                <w:b/>
                <w:bCs/>
                <w:sz w:val="20"/>
              </w:rPr>
              <w:t>.</w:t>
            </w:r>
            <w:r>
              <w:rPr>
                <w:rFonts w:cs="Arial"/>
                <w:b/>
                <w:bCs/>
                <w:sz w:val="20"/>
              </w:rPr>
              <w:t xml:space="preserve"> Our lockbox is not relevant to the COBRA process because health plans handle these payments directly. The h</w:t>
            </w:r>
            <w:r w:rsidRPr="009C3034">
              <w:rPr>
                <w:rFonts w:cs="Arial"/>
                <w:b/>
                <w:bCs/>
                <w:sz w:val="20"/>
              </w:rPr>
              <w:t>ealth plans</w:t>
            </w:r>
            <w:r>
              <w:rPr>
                <w:rFonts w:cs="Arial"/>
                <w:b/>
                <w:bCs/>
                <w:sz w:val="20"/>
              </w:rPr>
              <w:t xml:space="preserve">, however, are required to </w:t>
            </w:r>
            <w:r w:rsidRPr="009C3034">
              <w:rPr>
                <w:rFonts w:cs="Arial"/>
                <w:b/>
                <w:bCs/>
                <w:sz w:val="20"/>
              </w:rPr>
              <w:t>notify us if payments are not received so we can update coverage records</w:t>
            </w:r>
            <w:r>
              <w:rPr>
                <w:rFonts w:cs="Arial"/>
                <w:b/>
                <w:bCs/>
                <w:sz w:val="20"/>
              </w:rPr>
              <w:t xml:space="preserve"> accordingly</w:t>
            </w:r>
            <w:r w:rsidRPr="009C3034">
              <w:rPr>
                <w:rFonts w:cs="Arial"/>
                <w:b/>
                <w:bCs/>
                <w:sz w:val="20"/>
              </w:rPr>
              <w:t xml:space="preserve">. </w:t>
            </w:r>
          </w:p>
          <w:p w14:paraId="5D88A8C3" w14:textId="1B31ECCD" w:rsidR="004436D3" w:rsidRPr="00041587" w:rsidRDefault="004436D3" w:rsidP="007A7A31">
            <w:pPr>
              <w:spacing w:before="120" w:after="120"/>
              <w:ind w:left="360"/>
              <w:rPr>
                <w:rFonts w:cs="Arial"/>
                <w:b/>
                <w:bCs/>
                <w:sz w:val="20"/>
              </w:rPr>
            </w:pPr>
            <w:r w:rsidRPr="00041587">
              <w:rPr>
                <w:rFonts w:cs="Arial"/>
                <w:b/>
                <w:bCs/>
                <w:sz w:val="20"/>
              </w:rPr>
              <w:t xml:space="preserve">For the Employee Reimbursement Accounts program, the member submits the COBRA form and payment(s) directly to ETF. The lockbox is not used for this COBRA process either. </w:t>
            </w:r>
          </w:p>
          <w:p w14:paraId="3827215E" w14:textId="77777777" w:rsidR="004436D3" w:rsidRPr="009C3034" w:rsidRDefault="004436D3" w:rsidP="00E53E80">
            <w:pPr>
              <w:pStyle w:val="ListParagraph"/>
              <w:spacing w:before="120" w:after="120"/>
              <w:ind w:left="360"/>
              <w:rPr>
                <w:rFonts w:cs="Arial"/>
                <w:b/>
                <w:bCs/>
                <w:sz w:val="20"/>
              </w:rPr>
            </w:pPr>
          </w:p>
          <w:p w14:paraId="4CED6762" w14:textId="7870482B" w:rsidR="004436D3" w:rsidRPr="00E53E80" w:rsidRDefault="004436D3" w:rsidP="00F61E1E">
            <w:pPr>
              <w:pStyle w:val="ListParagraph"/>
              <w:numPr>
                <w:ilvl w:val="0"/>
                <w:numId w:val="31"/>
              </w:numPr>
              <w:spacing w:before="120" w:after="120"/>
              <w:rPr>
                <w:rFonts w:cs="Arial"/>
                <w:b/>
                <w:bCs/>
                <w:sz w:val="20"/>
              </w:rPr>
            </w:pPr>
            <w:r>
              <w:rPr>
                <w:rFonts w:cs="Arial"/>
                <w:b/>
                <w:bCs/>
                <w:sz w:val="20"/>
              </w:rPr>
              <w:t>The reference to “o</w:t>
            </w:r>
            <w:r w:rsidRPr="00E53E80">
              <w:rPr>
                <w:rFonts w:cs="Arial"/>
                <w:b/>
                <w:bCs/>
                <w:sz w:val="20"/>
              </w:rPr>
              <w:t>ther sources</w:t>
            </w:r>
            <w:r>
              <w:rPr>
                <w:rFonts w:cs="Arial"/>
                <w:b/>
                <w:bCs/>
                <w:sz w:val="20"/>
              </w:rPr>
              <w:t>” in this question includes other sources of premium payments such as annuity deduction</w:t>
            </w:r>
            <w:r w:rsidRPr="00E53E80">
              <w:rPr>
                <w:rFonts w:cs="Arial"/>
                <w:b/>
                <w:bCs/>
                <w:sz w:val="20"/>
              </w:rPr>
              <w:t>, life ins</w:t>
            </w:r>
            <w:r>
              <w:rPr>
                <w:rFonts w:cs="Arial"/>
                <w:b/>
                <w:bCs/>
                <w:sz w:val="20"/>
              </w:rPr>
              <w:t>urance</w:t>
            </w:r>
            <w:r w:rsidRPr="00E53E80">
              <w:rPr>
                <w:rFonts w:cs="Arial"/>
                <w:b/>
                <w:bCs/>
                <w:sz w:val="20"/>
              </w:rPr>
              <w:t xml:space="preserve"> conversion, </w:t>
            </w:r>
            <w:r>
              <w:rPr>
                <w:rFonts w:cs="Arial"/>
                <w:b/>
                <w:bCs/>
                <w:sz w:val="20"/>
              </w:rPr>
              <w:t>sick leave program credits,</w:t>
            </w:r>
            <w:r w:rsidRPr="00E53E80">
              <w:rPr>
                <w:rFonts w:cs="Arial"/>
                <w:b/>
                <w:bCs/>
                <w:sz w:val="20"/>
              </w:rPr>
              <w:t xml:space="preserve"> etc. </w:t>
            </w:r>
          </w:p>
        </w:tc>
      </w:tr>
      <w:tr w:rsidR="004436D3" w:rsidRPr="00507BDA" w14:paraId="54C5BA5E" w14:textId="77777777" w:rsidTr="00AC3150">
        <w:tc>
          <w:tcPr>
            <w:tcW w:w="720" w:type="dxa"/>
            <w:shd w:val="clear" w:color="auto" w:fill="EEECE1" w:themeFill="background2"/>
          </w:tcPr>
          <w:p w14:paraId="0F1EE224" w14:textId="77777777" w:rsidR="004436D3" w:rsidRPr="00507BDA" w:rsidRDefault="004436D3" w:rsidP="00F61E1E">
            <w:pPr>
              <w:spacing w:before="120" w:after="120"/>
              <w:jc w:val="both"/>
              <w:rPr>
                <w:rFonts w:cs="Arial"/>
                <w:b/>
                <w:bCs/>
                <w:sz w:val="20"/>
              </w:rPr>
            </w:pPr>
            <w:bookmarkStart w:id="9" w:name="_Hlk36107617"/>
            <w:bookmarkEnd w:id="8"/>
            <w:r w:rsidRPr="00507BDA">
              <w:rPr>
                <w:rFonts w:cs="Arial"/>
                <w:b/>
                <w:bCs/>
                <w:sz w:val="20"/>
              </w:rPr>
              <w:t>Q14</w:t>
            </w:r>
          </w:p>
        </w:tc>
        <w:tc>
          <w:tcPr>
            <w:tcW w:w="1710" w:type="dxa"/>
            <w:shd w:val="clear" w:color="auto" w:fill="EEECE1" w:themeFill="background2"/>
          </w:tcPr>
          <w:p w14:paraId="2ED62C69" w14:textId="77777777" w:rsidR="004436D3" w:rsidRPr="00507BDA" w:rsidRDefault="004436D3" w:rsidP="00F61E1E">
            <w:pPr>
              <w:spacing w:before="120" w:after="120"/>
              <w:jc w:val="both"/>
              <w:rPr>
                <w:rFonts w:cs="Arial"/>
                <w:b/>
                <w:bCs/>
                <w:sz w:val="20"/>
              </w:rPr>
            </w:pPr>
            <w:r w:rsidRPr="00507BDA">
              <w:rPr>
                <w:rFonts w:eastAsia="Calibri" w:cs="Arial"/>
                <w:b/>
                <w:bCs/>
                <w:sz w:val="20"/>
              </w:rPr>
              <w:t>Appendix 7, #68</w:t>
            </w:r>
          </w:p>
        </w:tc>
        <w:tc>
          <w:tcPr>
            <w:tcW w:w="1710" w:type="dxa"/>
            <w:shd w:val="clear" w:color="auto" w:fill="EEECE1" w:themeFill="background2"/>
          </w:tcPr>
          <w:p w14:paraId="69728DDC" w14:textId="77777777" w:rsidR="004436D3" w:rsidRPr="00507BDA" w:rsidRDefault="004436D3" w:rsidP="00F61E1E">
            <w:pPr>
              <w:spacing w:before="120" w:after="120"/>
              <w:jc w:val="both"/>
              <w:rPr>
                <w:rFonts w:cs="Arial"/>
                <w:b/>
                <w:bCs/>
                <w:sz w:val="20"/>
              </w:rPr>
            </w:pPr>
            <w:r w:rsidRPr="00507BDA">
              <w:rPr>
                <w:rFonts w:eastAsia="Calibri" w:cs="Arial"/>
                <w:b/>
                <w:bCs/>
                <w:sz w:val="20"/>
              </w:rPr>
              <w:t>7 of 28</w:t>
            </w:r>
          </w:p>
        </w:tc>
        <w:tc>
          <w:tcPr>
            <w:tcW w:w="3420" w:type="dxa"/>
            <w:shd w:val="clear" w:color="auto" w:fill="EEECE1" w:themeFill="background2"/>
          </w:tcPr>
          <w:p w14:paraId="6AB92954" w14:textId="77777777" w:rsidR="004436D3" w:rsidRPr="00507BDA" w:rsidRDefault="004436D3" w:rsidP="00F61E1E">
            <w:pPr>
              <w:spacing w:before="120" w:after="120"/>
              <w:rPr>
                <w:rFonts w:cs="Arial"/>
                <w:b/>
                <w:bCs/>
                <w:sz w:val="20"/>
              </w:rPr>
            </w:pPr>
            <w:r w:rsidRPr="00507BDA">
              <w:rPr>
                <w:rFonts w:eastAsia="Calibri" w:cs="Arial"/>
                <w:b/>
                <w:bCs/>
                <w:sz w:val="20"/>
              </w:rPr>
              <w:t>Please describe ETF’s current process and which part(s) of the process ETF wishes IAS vendor to manage.</w:t>
            </w:r>
          </w:p>
        </w:tc>
        <w:tc>
          <w:tcPr>
            <w:tcW w:w="5490" w:type="dxa"/>
            <w:shd w:val="clear" w:color="auto" w:fill="EEECE1" w:themeFill="background2"/>
          </w:tcPr>
          <w:p w14:paraId="1AA30EB3" w14:textId="45D7B27A" w:rsidR="004436D3" w:rsidRDefault="004436D3" w:rsidP="00F61E1E">
            <w:pPr>
              <w:spacing w:before="120" w:after="120"/>
              <w:rPr>
                <w:rFonts w:cs="Arial"/>
                <w:b/>
                <w:bCs/>
                <w:sz w:val="20"/>
              </w:rPr>
            </w:pPr>
            <w:r>
              <w:rPr>
                <w:rFonts w:cs="Arial"/>
                <w:b/>
                <w:bCs/>
                <w:sz w:val="20"/>
              </w:rPr>
              <w:t>Today, our processes cross many systems and are often manual.</w:t>
            </w:r>
          </w:p>
          <w:p w14:paraId="5C7377BF" w14:textId="6C88FEAD" w:rsidR="004436D3" w:rsidRPr="00507BDA" w:rsidRDefault="004436D3" w:rsidP="00E53E80">
            <w:pPr>
              <w:spacing w:before="120" w:after="120"/>
              <w:rPr>
                <w:rFonts w:cs="Arial"/>
                <w:b/>
                <w:bCs/>
                <w:sz w:val="20"/>
              </w:rPr>
            </w:pPr>
            <w:r>
              <w:rPr>
                <w:rFonts w:cs="Arial"/>
                <w:b/>
                <w:bCs/>
                <w:sz w:val="20"/>
              </w:rPr>
              <w:t xml:space="preserve">We are interested in </w:t>
            </w:r>
            <w:r w:rsidRPr="003818A0">
              <w:rPr>
                <w:rFonts w:cs="Arial"/>
                <w:b/>
                <w:bCs/>
                <w:sz w:val="20"/>
              </w:rPr>
              <w:t xml:space="preserve">the Proposer’s </w:t>
            </w:r>
            <w:r>
              <w:rPr>
                <w:rFonts w:cs="Arial"/>
                <w:b/>
                <w:bCs/>
                <w:sz w:val="20"/>
              </w:rPr>
              <w:t xml:space="preserve">capabilities to manage the entire process from invoice calculation through payment receipt and processing. While other systems, such as US Bank, currently do and will continue to handle pieces of the process (e.g., payment rejection, etc.), we are interested in any capabilities the Proposer offers to compile and display financial-related information for all insurance benefits, regardless of who/which system generates the invoices and captures premium payments, in a comprehensive, cohesive view. </w:t>
            </w:r>
          </w:p>
        </w:tc>
      </w:tr>
      <w:tr w:rsidR="004436D3" w:rsidRPr="007B1A00" w14:paraId="5C584E93" w14:textId="77777777" w:rsidTr="00AC3150">
        <w:tc>
          <w:tcPr>
            <w:tcW w:w="720" w:type="dxa"/>
            <w:shd w:val="clear" w:color="auto" w:fill="DBE5F1" w:themeFill="accent1" w:themeFillTint="33"/>
          </w:tcPr>
          <w:p w14:paraId="408B9C23" w14:textId="77777777" w:rsidR="004436D3" w:rsidRPr="00507BDA" w:rsidRDefault="004436D3" w:rsidP="00F61E1E">
            <w:pPr>
              <w:spacing w:before="120" w:after="120"/>
              <w:jc w:val="both"/>
              <w:rPr>
                <w:rFonts w:cs="Arial"/>
                <w:b/>
                <w:bCs/>
                <w:sz w:val="20"/>
              </w:rPr>
            </w:pPr>
            <w:bookmarkStart w:id="10" w:name="_Hlk36107815"/>
            <w:bookmarkEnd w:id="9"/>
            <w:r w:rsidRPr="00507BDA">
              <w:rPr>
                <w:rFonts w:cs="Arial"/>
                <w:b/>
                <w:bCs/>
                <w:sz w:val="20"/>
              </w:rPr>
              <w:t>Q15</w:t>
            </w:r>
          </w:p>
        </w:tc>
        <w:tc>
          <w:tcPr>
            <w:tcW w:w="1710" w:type="dxa"/>
            <w:shd w:val="clear" w:color="auto" w:fill="DBE5F1" w:themeFill="accent1" w:themeFillTint="33"/>
          </w:tcPr>
          <w:p w14:paraId="46F1CB72" w14:textId="77777777" w:rsidR="004436D3" w:rsidRPr="00507BDA" w:rsidRDefault="004436D3" w:rsidP="00F61E1E">
            <w:pPr>
              <w:spacing w:before="120" w:after="120"/>
              <w:jc w:val="both"/>
              <w:rPr>
                <w:rFonts w:cs="Arial"/>
                <w:b/>
                <w:bCs/>
                <w:sz w:val="20"/>
              </w:rPr>
            </w:pPr>
            <w:r w:rsidRPr="00507BDA">
              <w:rPr>
                <w:rFonts w:eastAsia="Calibri" w:cs="Arial"/>
                <w:b/>
                <w:bCs/>
                <w:sz w:val="20"/>
              </w:rPr>
              <w:t>Appendix 7, #69</w:t>
            </w:r>
          </w:p>
        </w:tc>
        <w:tc>
          <w:tcPr>
            <w:tcW w:w="1710" w:type="dxa"/>
            <w:shd w:val="clear" w:color="auto" w:fill="DBE5F1" w:themeFill="accent1" w:themeFillTint="33"/>
          </w:tcPr>
          <w:p w14:paraId="4516C15C" w14:textId="77777777" w:rsidR="004436D3" w:rsidRPr="00507BDA" w:rsidRDefault="004436D3" w:rsidP="00F61E1E">
            <w:pPr>
              <w:spacing w:before="120" w:after="120"/>
              <w:jc w:val="both"/>
              <w:rPr>
                <w:rFonts w:cs="Arial"/>
                <w:b/>
                <w:bCs/>
                <w:sz w:val="20"/>
              </w:rPr>
            </w:pPr>
            <w:r w:rsidRPr="00507BDA">
              <w:rPr>
                <w:rFonts w:eastAsia="Calibri" w:cs="Arial"/>
                <w:b/>
                <w:bCs/>
                <w:sz w:val="20"/>
              </w:rPr>
              <w:t>7 of 28</w:t>
            </w:r>
          </w:p>
        </w:tc>
        <w:tc>
          <w:tcPr>
            <w:tcW w:w="3420" w:type="dxa"/>
            <w:shd w:val="clear" w:color="auto" w:fill="DBE5F1" w:themeFill="accent1" w:themeFillTint="33"/>
          </w:tcPr>
          <w:p w14:paraId="1504C44F" w14:textId="77777777" w:rsidR="004436D3" w:rsidRPr="00507BDA" w:rsidRDefault="004436D3" w:rsidP="00F61E1E">
            <w:pPr>
              <w:spacing w:before="120" w:after="120"/>
              <w:rPr>
                <w:rFonts w:cs="Arial"/>
                <w:b/>
                <w:bCs/>
                <w:sz w:val="20"/>
              </w:rPr>
            </w:pPr>
            <w:r w:rsidRPr="00507BDA">
              <w:rPr>
                <w:rFonts w:eastAsia="Calibri" w:cs="Arial"/>
                <w:b/>
                <w:bCs/>
                <w:sz w:val="20"/>
              </w:rPr>
              <w:t xml:space="preserve">Please describe the manner in which ETF bank account management integrates with </w:t>
            </w:r>
            <w:r w:rsidRPr="00507BDA">
              <w:rPr>
                <w:rFonts w:eastAsia="Calibri" w:cs="Arial"/>
                <w:b/>
                <w:bCs/>
                <w:sz w:val="20"/>
              </w:rPr>
              <w:lastRenderedPageBreak/>
              <w:t>referenced payment administrative processes.</w:t>
            </w:r>
          </w:p>
        </w:tc>
        <w:tc>
          <w:tcPr>
            <w:tcW w:w="5490" w:type="dxa"/>
            <w:shd w:val="clear" w:color="auto" w:fill="DBE5F1" w:themeFill="accent1" w:themeFillTint="33"/>
          </w:tcPr>
          <w:p w14:paraId="37A408CF" w14:textId="7EE6C1F7" w:rsidR="004436D3" w:rsidRDefault="004436D3" w:rsidP="00F61E1E">
            <w:pPr>
              <w:spacing w:before="120" w:after="120"/>
              <w:rPr>
                <w:rFonts w:cs="Arial"/>
                <w:b/>
                <w:bCs/>
                <w:sz w:val="20"/>
              </w:rPr>
            </w:pPr>
            <w:r>
              <w:rPr>
                <w:rFonts w:cs="Arial"/>
                <w:b/>
                <w:bCs/>
                <w:sz w:val="20"/>
              </w:rPr>
              <w:lastRenderedPageBreak/>
              <w:t xml:space="preserve">Currently, ETF bank account management does not integrate with payment administrative processes. </w:t>
            </w:r>
          </w:p>
          <w:p w14:paraId="72EBD506" w14:textId="123F4D44" w:rsidR="004436D3" w:rsidRPr="00507BDA" w:rsidRDefault="004436D3" w:rsidP="00F61E1E">
            <w:pPr>
              <w:spacing w:before="120" w:after="120"/>
              <w:rPr>
                <w:rFonts w:cs="Arial"/>
                <w:b/>
                <w:bCs/>
                <w:sz w:val="20"/>
              </w:rPr>
            </w:pPr>
            <w:r>
              <w:rPr>
                <w:rFonts w:cs="Arial"/>
                <w:b/>
                <w:bCs/>
                <w:sz w:val="20"/>
              </w:rPr>
              <w:lastRenderedPageBreak/>
              <w:t xml:space="preserve">We are interested in </w:t>
            </w:r>
            <w:r w:rsidRPr="003818A0">
              <w:rPr>
                <w:rFonts w:cs="Arial"/>
                <w:b/>
                <w:bCs/>
                <w:sz w:val="20"/>
              </w:rPr>
              <w:t xml:space="preserve">any capabilities the Proposer’s system offers </w:t>
            </w:r>
            <w:r>
              <w:rPr>
                <w:rFonts w:cs="Arial"/>
                <w:b/>
                <w:bCs/>
                <w:sz w:val="20"/>
              </w:rPr>
              <w:t>to streamline, enhance, automate, and otherwise make these processes more efficient.</w:t>
            </w:r>
          </w:p>
        </w:tc>
      </w:tr>
      <w:tr w:rsidR="004436D3" w:rsidRPr="00507BDA" w14:paraId="0889F28E" w14:textId="77777777" w:rsidTr="00AC3150">
        <w:tc>
          <w:tcPr>
            <w:tcW w:w="720" w:type="dxa"/>
            <w:shd w:val="clear" w:color="auto" w:fill="EEECE1" w:themeFill="background2"/>
          </w:tcPr>
          <w:p w14:paraId="42CB3FEF" w14:textId="77777777" w:rsidR="004436D3" w:rsidRPr="00507BDA" w:rsidRDefault="004436D3" w:rsidP="00F61E1E">
            <w:pPr>
              <w:spacing w:before="120" w:after="120"/>
              <w:jc w:val="both"/>
              <w:rPr>
                <w:rFonts w:cs="Arial"/>
                <w:b/>
                <w:bCs/>
                <w:sz w:val="20"/>
              </w:rPr>
            </w:pPr>
            <w:bookmarkStart w:id="11" w:name="_Hlk36107890"/>
            <w:bookmarkEnd w:id="10"/>
            <w:r w:rsidRPr="00507BDA">
              <w:rPr>
                <w:rFonts w:cs="Arial"/>
                <w:b/>
                <w:bCs/>
                <w:sz w:val="20"/>
              </w:rPr>
              <w:lastRenderedPageBreak/>
              <w:t>Q16</w:t>
            </w:r>
          </w:p>
        </w:tc>
        <w:tc>
          <w:tcPr>
            <w:tcW w:w="1710" w:type="dxa"/>
            <w:shd w:val="clear" w:color="auto" w:fill="EEECE1" w:themeFill="background2"/>
          </w:tcPr>
          <w:p w14:paraId="0A608832" w14:textId="77777777" w:rsidR="004436D3" w:rsidRPr="00507BDA" w:rsidRDefault="004436D3" w:rsidP="00F61E1E">
            <w:pPr>
              <w:spacing w:before="120" w:after="120"/>
              <w:jc w:val="both"/>
              <w:rPr>
                <w:rFonts w:cs="Arial"/>
                <w:b/>
                <w:bCs/>
                <w:sz w:val="20"/>
              </w:rPr>
            </w:pPr>
            <w:r w:rsidRPr="00507BDA">
              <w:rPr>
                <w:rFonts w:eastAsia="Calibri" w:cs="Arial"/>
                <w:b/>
                <w:bCs/>
                <w:sz w:val="20"/>
              </w:rPr>
              <w:t>Appendix 7, #70</w:t>
            </w:r>
          </w:p>
        </w:tc>
        <w:tc>
          <w:tcPr>
            <w:tcW w:w="1710" w:type="dxa"/>
            <w:shd w:val="clear" w:color="auto" w:fill="EEECE1" w:themeFill="background2"/>
          </w:tcPr>
          <w:p w14:paraId="3455ADDF" w14:textId="77777777" w:rsidR="004436D3" w:rsidRPr="00507BDA" w:rsidRDefault="004436D3" w:rsidP="00F61E1E">
            <w:pPr>
              <w:spacing w:before="120" w:after="120"/>
              <w:jc w:val="both"/>
              <w:rPr>
                <w:rFonts w:cs="Arial"/>
                <w:b/>
                <w:bCs/>
                <w:sz w:val="20"/>
              </w:rPr>
            </w:pPr>
            <w:r w:rsidRPr="00507BDA">
              <w:rPr>
                <w:rFonts w:eastAsia="Calibri" w:cs="Arial"/>
                <w:b/>
                <w:bCs/>
                <w:sz w:val="20"/>
              </w:rPr>
              <w:t>7 of 28</w:t>
            </w:r>
          </w:p>
        </w:tc>
        <w:tc>
          <w:tcPr>
            <w:tcW w:w="3420" w:type="dxa"/>
            <w:shd w:val="clear" w:color="auto" w:fill="EEECE1" w:themeFill="background2"/>
          </w:tcPr>
          <w:p w14:paraId="55FC1755" w14:textId="77777777" w:rsidR="004436D3" w:rsidRPr="00507BDA" w:rsidRDefault="004436D3" w:rsidP="00F61E1E">
            <w:pPr>
              <w:spacing w:before="120" w:after="120"/>
              <w:rPr>
                <w:rFonts w:cs="Arial"/>
                <w:b/>
                <w:bCs/>
                <w:sz w:val="20"/>
              </w:rPr>
            </w:pPr>
            <w:r w:rsidRPr="00507BDA">
              <w:rPr>
                <w:rFonts w:eastAsia="Calibri" w:cs="Arial"/>
                <w:b/>
                <w:bCs/>
                <w:sz w:val="20"/>
              </w:rPr>
              <w:t>Please define “insurance payments” (i.e., claims versus premiums?).</w:t>
            </w:r>
          </w:p>
        </w:tc>
        <w:tc>
          <w:tcPr>
            <w:tcW w:w="5490" w:type="dxa"/>
            <w:shd w:val="clear" w:color="auto" w:fill="EEECE1" w:themeFill="background2"/>
          </w:tcPr>
          <w:p w14:paraId="4317F11E" w14:textId="7294065C" w:rsidR="004436D3" w:rsidRPr="00507BDA" w:rsidRDefault="004436D3" w:rsidP="00F61E1E">
            <w:pPr>
              <w:spacing w:before="120" w:after="120"/>
              <w:rPr>
                <w:rFonts w:cs="Arial"/>
                <w:b/>
                <w:bCs/>
                <w:sz w:val="20"/>
              </w:rPr>
            </w:pPr>
            <w:r>
              <w:rPr>
                <w:rFonts w:cs="Arial"/>
                <w:b/>
                <w:bCs/>
                <w:sz w:val="20"/>
              </w:rPr>
              <w:t>The term “insurance payments” refers to premiums. Claims are outside of the scope of this RFP.</w:t>
            </w:r>
          </w:p>
        </w:tc>
      </w:tr>
      <w:tr w:rsidR="004436D3" w:rsidRPr="007B1A00" w14:paraId="3A01621E" w14:textId="77777777" w:rsidTr="00AC3150">
        <w:tc>
          <w:tcPr>
            <w:tcW w:w="720" w:type="dxa"/>
            <w:shd w:val="clear" w:color="auto" w:fill="DBE5F1" w:themeFill="accent1" w:themeFillTint="33"/>
          </w:tcPr>
          <w:p w14:paraId="2F2ADF38" w14:textId="77777777" w:rsidR="004436D3" w:rsidRPr="00507BDA" w:rsidRDefault="004436D3" w:rsidP="00F61E1E">
            <w:pPr>
              <w:spacing w:before="120" w:after="120"/>
              <w:jc w:val="both"/>
              <w:rPr>
                <w:rFonts w:cs="Arial"/>
                <w:b/>
                <w:bCs/>
                <w:sz w:val="20"/>
              </w:rPr>
            </w:pPr>
            <w:bookmarkStart w:id="12" w:name="_Hlk36110696"/>
            <w:bookmarkEnd w:id="11"/>
            <w:r w:rsidRPr="00507BDA">
              <w:rPr>
                <w:rFonts w:cs="Arial"/>
                <w:b/>
                <w:bCs/>
                <w:sz w:val="20"/>
              </w:rPr>
              <w:t>Q17</w:t>
            </w:r>
          </w:p>
        </w:tc>
        <w:tc>
          <w:tcPr>
            <w:tcW w:w="1710" w:type="dxa"/>
            <w:shd w:val="clear" w:color="auto" w:fill="DBE5F1" w:themeFill="accent1" w:themeFillTint="33"/>
          </w:tcPr>
          <w:p w14:paraId="1AC23293" w14:textId="77777777" w:rsidR="004436D3" w:rsidRPr="00507BDA" w:rsidRDefault="004436D3" w:rsidP="00F61E1E">
            <w:pPr>
              <w:spacing w:before="120" w:after="120"/>
              <w:jc w:val="both"/>
              <w:rPr>
                <w:rFonts w:cs="Arial"/>
                <w:b/>
                <w:bCs/>
                <w:sz w:val="20"/>
              </w:rPr>
            </w:pPr>
            <w:r w:rsidRPr="00507BDA">
              <w:rPr>
                <w:rFonts w:eastAsia="Calibri" w:cs="Arial"/>
                <w:b/>
                <w:bCs/>
                <w:sz w:val="20"/>
              </w:rPr>
              <w:t>Appendix 7, #71</w:t>
            </w:r>
          </w:p>
        </w:tc>
        <w:tc>
          <w:tcPr>
            <w:tcW w:w="1710" w:type="dxa"/>
            <w:shd w:val="clear" w:color="auto" w:fill="DBE5F1" w:themeFill="accent1" w:themeFillTint="33"/>
          </w:tcPr>
          <w:p w14:paraId="271AF2F7" w14:textId="77777777" w:rsidR="004436D3" w:rsidRPr="00507BDA" w:rsidRDefault="004436D3" w:rsidP="00F61E1E">
            <w:pPr>
              <w:spacing w:before="120" w:after="120"/>
              <w:jc w:val="both"/>
              <w:rPr>
                <w:rFonts w:cs="Arial"/>
                <w:b/>
                <w:bCs/>
                <w:sz w:val="20"/>
              </w:rPr>
            </w:pPr>
            <w:r w:rsidRPr="00507BDA">
              <w:rPr>
                <w:rFonts w:eastAsia="Calibri" w:cs="Arial"/>
                <w:b/>
                <w:bCs/>
                <w:sz w:val="20"/>
              </w:rPr>
              <w:t>7 of 28</w:t>
            </w:r>
          </w:p>
        </w:tc>
        <w:tc>
          <w:tcPr>
            <w:tcW w:w="3420" w:type="dxa"/>
            <w:shd w:val="clear" w:color="auto" w:fill="DBE5F1" w:themeFill="accent1" w:themeFillTint="33"/>
          </w:tcPr>
          <w:p w14:paraId="4FE7C519" w14:textId="77777777" w:rsidR="004436D3" w:rsidRPr="00507BDA" w:rsidRDefault="004436D3" w:rsidP="00F61E1E">
            <w:pPr>
              <w:spacing w:before="120" w:after="120"/>
              <w:rPr>
                <w:rFonts w:cs="Arial"/>
                <w:b/>
                <w:bCs/>
                <w:sz w:val="20"/>
              </w:rPr>
            </w:pPr>
            <w:r w:rsidRPr="00507BDA">
              <w:rPr>
                <w:rFonts w:eastAsia="Calibri" w:cs="Arial"/>
                <w:b/>
                <w:bCs/>
                <w:sz w:val="20"/>
              </w:rPr>
              <w:t>Please describe current practices, including cycle and frequency.</w:t>
            </w:r>
          </w:p>
        </w:tc>
        <w:tc>
          <w:tcPr>
            <w:tcW w:w="5490" w:type="dxa"/>
            <w:shd w:val="clear" w:color="auto" w:fill="DBE5F1" w:themeFill="accent1" w:themeFillTint="33"/>
          </w:tcPr>
          <w:p w14:paraId="269AF881" w14:textId="4F2E2B19" w:rsidR="004436D3" w:rsidRDefault="004436D3" w:rsidP="00EE2492">
            <w:pPr>
              <w:spacing w:before="120" w:after="120"/>
              <w:rPr>
                <w:rFonts w:cs="Arial"/>
                <w:b/>
                <w:bCs/>
                <w:sz w:val="20"/>
              </w:rPr>
            </w:pPr>
            <w:r>
              <w:rPr>
                <w:rFonts w:cs="Arial"/>
                <w:b/>
                <w:bCs/>
                <w:sz w:val="20"/>
              </w:rPr>
              <w:t xml:space="preserve">Currently, employers are automatically notified via email when certain financial-related situations occur, such as when invoices are generated, updated or accepted; when payments are made or rejected, etc. The frequency of such communication is whenever the corresponding trigger event occurs (e.g., invoice creation is monthly, but updated invoices or payment acceptance can occur at any time, etc.). </w:t>
            </w:r>
          </w:p>
          <w:p w14:paraId="08756260" w14:textId="5EC496CB" w:rsidR="004436D3" w:rsidRDefault="004436D3" w:rsidP="00F61E1E">
            <w:pPr>
              <w:spacing w:before="120" w:after="120"/>
              <w:rPr>
                <w:rFonts w:cs="Arial"/>
                <w:b/>
                <w:bCs/>
                <w:sz w:val="20"/>
              </w:rPr>
            </w:pPr>
            <w:r>
              <w:rPr>
                <w:rFonts w:cs="Arial"/>
                <w:b/>
                <w:bCs/>
                <w:sz w:val="20"/>
              </w:rPr>
              <w:t xml:space="preserve">No member-specific payment related communication is generated or dispersed today, unless it is manually created. </w:t>
            </w:r>
          </w:p>
          <w:p w14:paraId="098121FB" w14:textId="776B46B5" w:rsidR="004436D3" w:rsidRPr="00507BDA" w:rsidRDefault="004436D3" w:rsidP="00F61E1E">
            <w:pPr>
              <w:spacing w:before="120" w:after="120"/>
              <w:rPr>
                <w:rFonts w:cs="Arial"/>
                <w:b/>
                <w:bCs/>
                <w:sz w:val="20"/>
              </w:rPr>
            </w:pPr>
            <w:r>
              <w:rPr>
                <w:rFonts w:cs="Arial"/>
                <w:b/>
                <w:bCs/>
                <w:sz w:val="20"/>
              </w:rPr>
              <w:t xml:space="preserve">We are interested in </w:t>
            </w:r>
            <w:r w:rsidRPr="003818A0">
              <w:rPr>
                <w:rFonts w:cs="Arial"/>
                <w:b/>
                <w:bCs/>
                <w:sz w:val="20"/>
              </w:rPr>
              <w:t xml:space="preserve">any capabilities the Proposer’s system offers </w:t>
            </w:r>
            <w:r>
              <w:rPr>
                <w:rFonts w:cs="Arial"/>
                <w:b/>
                <w:bCs/>
                <w:sz w:val="20"/>
              </w:rPr>
              <w:t>to streamline, enhance, automate, and otherwise make these processes more efficient.</w:t>
            </w:r>
          </w:p>
        </w:tc>
      </w:tr>
      <w:tr w:rsidR="004436D3" w:rsidRPr="007B1A00" w14:paraId="2AFAD7FE" w14:textId="77777777" w:rsidTr="00AC3150">
        <w:tc>
          <w:tcPr>
            <w:tcW w:w="720" w:type="dxa"/>
            <w:shd w:val="clear" w:color="auto" w:fill="EEECE1" w:themeFill="background2"/>
          </w:tcPr>
          <w:p w14:paraId="621DDAC2" w14:textId="77777777" w:rsidR="004436D3" w:rsidRPr="00507BDA" w:rsidRDefault="004436D3" w:rsidP="00F61E1E">
            <w:pPr>
              <w:spacing w:before="120" w:after="120"/>
              <w:jc w:val="both"/>
              <w:rPr>
                <w:rFonts w:cs="Arial"/>
                <w:b/>
                <w:bCs/>
                <w:sz w:val="20"/>
              </w:rPr>
            </w:pPr>
            <w:bookmarkStart w:id="13" w:name="_Hlk36110773"/>
            <w:bookmarkEnd w:id="12"/>
            <w:r w:rsidRPr="00507BDA">
              <w:rPr>
                <w:rFonts w:cs="Arial"/>
                <w:b/>
                <w:bCs/>
                <w:sz w:val="20"/>
              </w:rPr>
              <w:t>Q18</w:t>
            </w:r>
          </w:p>
        </w:tc>
        <w:tc>
          <w:tcPr>
            <w:tcW w:w="1710" w:type="dxa"/>
            <w:shd w:val="clear" w:color="auto" w:fill="EEECE1" w:themeFill="background2"/>
          </w:tcPr>
          <w:p w14:paraId="2E5E37B8" w14:textId="77777777" w:rsidR="004436D3" w:rsidRPr="00507BDA" w:rsidRDefault="004436D3" w:rsidP="00F61E1E">
            <w:pPr>
              <w:spacing w:before="120" w:after="120"/>
              <w:jc w:val="both"/>
              <w:rPr>
                <w:rFonts w:cs="Arial"/>
                <w:b/>
                <w:bCs/>
                <w:sz w:val="20"/>
              </w:rPr>
            </w:pPr>
            <w:r w:rsidRPr="00507BDA">
              <w:rPr>
                <w:rFonts w:eastAsia="Calibri" w:cs="Arial"/>
                <w:b/>
                <w:bCs/>
                <w:sz w:val="20"/>
              </w:rPr>
              <w:t>Appendix 7, #72</w:t>
            </w:r>
          </w:p>
        </w:tc>
        <w:tc>
          <w:tcPr>
            <w:tcW w:w="1710" w:type="dxa"/>
            <w:shd w:val="clear" w:color="auto" w:fill="EEECE1" w:themeFill="background2"/>
          </w:tcPr>
          <w:p w14:paraId="6F8C4F41" w14:textId="77777777" w:rsidR="004436D3" w:rsidRPr="00507BDA" w:rsidRDefault="004436D3" w:rsidP="00F61E1E">
            <w:pPr>
              <w:spacing w:before="120" w:after="120"/>
              <w:jc w:val="both"/>
              <w:rPr>
                <w:rFonts w:cs="Arial"/>
                <w:b/>
                <w:bCs/>
                <w:sz w:val="20"/>
              </w:rPr>
            </w:pPr>
            <w:r w:rsidRPr="00507BDA">
              <w:rPr>
                <w:rFonts w:eastAsia="Calibri" w:cs="Arial"/>
                <w:b/>
                <w:bCs/>
                <w:sz w:val="20"/>
              </w:rPr>
              <w:t>7 of 28</w:t>
            </w:r>
          </w:p>
        </w:tc>
        <w:tc>
          <w:tcPr>
            <w:tcW w:w="3420" w:type="dxa"/>
            <w:shd w:val="clear" w:color="auto" w:fill="EEECE1" w:themeFill="background2"/>
          </w:tcPr>
          <w:p w14:paraId="74C96067" w14:textId="77777777" w:rsidR="004436D3" w:rsidRPr="00507BDA" w:rsidRDefault="004436D3" w:rsidP="00F61E1E">
            <w:pPr>
              <w:spacing w:before="120" w:after="120"/>
              <w:rPr>
                <w:rFonts w:cs="Arial"/>
                <w:b/>
                <w:bCs/>
                <w:sz w:val="20"/>
              </w:rPr>
            </w:pPr>
            <w:r w:rsidRPr="00507BDA">
              <w:rPr>
                <w:rFonts w:eastAsia="Calibri" w:cs="Arial"/>
                <w:b/>
                <w:bCs/>
                <w:sz w:val="20"/>
              </w:rPr>
              <w:t>Please describe the manner in which ETF bank account management integrates with referenced payment administrative processes.</w:t>
            </w:r>
          </w:p>
        </w:tc>
        <w:tc>
          <w:tcPr>
            <w:tcW w:w="5490" w:type="dxa"/>
            <w:shd w:val="clear" w:color="auto" w:fill="EEECE1" w:themeFill="background2"/>
          </w:tcPr>
          <w:p w14:paraId="6C844FEB" w14:textId="4959EE52" w:rsidR="004436D3" w:rsidRPr="00507BDA" w:rsidRDefault="004436D3" w:rsidP="00F61E1E">
            <w:pPr>
              <w:spacing w:before="120" w:after="120"/>
              <w:rPr>
                <w:rFonts w:cs="Arial"/>
                <w:b/>
                <w:bCs/>
                <w:sz w:val="20"/>
              </w:rPr>
            </w:pPr>
            <w:r>
              <w:rPr>
                <w:rFonts w:cs="Arial"/>
                <w:b/>
                <w:bCs/>
                <w:sz w:val="20"/>
              </w:rPr>
              <w:t>See response to question Q15 above.</w:t>
            </w:r>
          </w:p>
        </w:tc>
      </w:tr>
      <w:bookmarkEnd w:id="13"/>
      <w:tr w:rsidR="004436D3" w:rsidRPr="00382A25" w14:paraId="522F1D9B" w14:textId="77777777" w:rsidTr="00AC3150">
        <w:tc>
          <w:tcPr>
            <w:tcW w:w="720" w:type="dxa"/>
            <w:shd w:val="clear" w:color="auto" w:fill="DBE5F1" w:themeFill="accent1" w:themeFillTint="33"/>
          </w:tcPr>
          <w:p w14:paraId="743CFB38" w14:textId="77777777" w:rsidR="004436D3" w:rsidRPr="00382A25" w:rsidRDefault="004436D3" w:rsidP="00F61E1E">
            <w:pPr>
              <w:spacing w:before="120" w:after="120"/>
              <w:jc w:val="both"/>
              <w:rPr>
                <w:rFonts w:cs="Arial"/>
                <w:b/>
                <w:bCs/>
                <w:sz w:val="20"/>
              </w:rPr>
            </w:pPr>
            <w:r w:rsidRPr="00382A25">
              <w:rPr>
                <w:rFonts w:cs="Arial"/>
                <w:b/>
                <w:bCs/>
                <w:sz w:val="20"/>
              </w:rPr>
              <w:t>Q19</w:t>
            </w:r>
          </w:p>
        </w:tc>
        <w:tc>
          <w:tcPr>
            <w:tcW w:w="1710" w:type="dxa"/>
            <w:shd w:val="clear" w:color="auto" w:fill="DBE5F1" w:themeFill="accent1" w:themeFillTint="33"/>
          </w:tcPr>
          <w:p w14:paraId="627E8C47" w14:textId="77777777" w:rsidR="004436D3" w:rsidRPr="00382A25" w:rsidRDefault="004436D3" w:rsidP="00F61E1E">
            <w:pPr>
              <w:spacing w:before="120" w:after="120"/>
              <w:jc w:val="both"/>
              <w:rPr>
                <w:rFonts w:cs="Arial"/>
                <w:b/>
                <w:bCs/>
                <w:sz w:val="20"/>
              </w:rPr>
            </w:pPr>
            <w:r w:rsidRPr="00382A25">
              <w:rPr>
                <w:rFonts w:eastAsia="Calibri" w:cs="Arial"/>
                <w:b/>
                <w:bCs/>
                <w:sz w:val="20"/>
              </w:rPr>
              <w:t>Appendix 7, #73</w:t>
            </w:r>
          </w:p>
        </w:tc>
        <w:tc>
          <w:tcPr>
            <w:tcW w:w="1710" w:type="dxa"/>
            <w:shd w:val="clear" w:color="auto" w:fill="DBE5F1" w:themeFill="accent1" w:themeFillTint="33"/>
          </w:tcPr>
          <w:p w14:paraId="2BD8603A" w14:textId="77777777" w:rsidR="004436D3" w:rsidRPr="00382A25" w:rsidRDefault="004436D3" w:rsidP="00F61E1E">
            <w:pPr>
              <w:spacing w:before="120" w:after="120"/>
              <w:jc w:val="both"/>
              <w:rPr>
                <w:rFonts w:cs="Arial"/>
                <w:b/>
                <w:bCs/>
                <w:sz w:val="20"/>
              </w:rPr>
            </w:pPr>
            <w:r w:rsidRPr="00382A25">
              <w:rPr>
                <w:rFonts w:eastAsia="Calibri" w:cs="Arial"/>
                <w:b/>
                <w:bCs/>
                <w:sz w:val="20"/>
              </w:rPr>
              <w:t>7 of 28</w:t>
            </w:r>
          </w:p>
        </w:tc>
        <w:tc>
          <w:tcPr>
            <w:tcW w:w="3420" w:type="dxa"/>
            <w:shd w:val="clear" w:color="auto" w:fill="DBE5F1" w:themeFill="accent1" w:themeFillTint="33"/>
          </w:tcPr>
          <w:p w14:paraId="26F06225" w14:textId="77777777" w:rsidR="004436D3" w:rsidRPr="00382A25" w:rsidRDefault="004436D3" w:rsidP="00F61E1E">
            <w:pPr>
              <w:spacing w:before="120" w:after="120"/>
              <w:rPr>
                <w:rFonts w:cs="Arial"/>
                <w:b/>
                <w:bCs/>
                <w:sz w:val="20"/>
              </w:rPr>
            </w:pPr>
            <w:r w:rsidRPr="00382A25">
              <w:rPr>
                <w:rFonts w:eastAsia="Calibri" w:cs="Arial"/>
                <w:b/>
                <w:bCs/>
                <w:sz w:val="20"/>
              </w:rPr>
              <w:t>Does ETF apply a 30-day or 60-day delinquency rule for termination due to non-payment of premium?</w:t>
            </w:r>
          </w:p>
        </w:tc>
        <w:tc>
          <w:tcPr>
            <w:tcW w:w="5490" w:type="dxa"/>
            <w:shd w:val="clear" w:color="auto" w:fill="DBE5F1" w:themeFill="accent1" w:themeFillTint="33"/>
          </w:tcPr>
          <w:p w14:paraId="6EF1ED72" w14:textId="047DE7E5" w:rsidR="004436D3" w:rsidRPr="00382A25" w:rsidRDefault="004436D3" w:rsidP="00F61E1E">
            <w:pPr>
              <w:spacing w:before="120" w:after="120"/>
              <w:rPr>
                <w:rFonts w:cs="Arial"/>
                <w:b/>
                <w:bCs/>
                <w:sz w:val="20"/>
              </w:rPr>
            </w:pPr>
            <w:r>
              <w:rPr>
                <w:rFonts w:cs="Arial"/>
                <w:b/>
                <w:bCs/>
                <w:sz w:val="20"/>
              </w:rPr>
              <w:t>TPAs (health plans) apply a one (1) month delinquency rule for termination due to non-payment of premiums.</w:t>
            </w:r>
          </w:p>
        </w:tc>
      </w:tr>
      <w:tr w:rsidR="004436D3" w:rsidRPr="002B1587" w14:paraId="0B973306" w14:textId="77777777" w:rsidTr="00AC3150">
        <w:tc>
          <w:tcPr>
            <w:tcW w:w="720" w:type="dxa"/>
            <w:shd w:val="clear" w:color="auto" w:fill="EEECE1" w:themeFill="background2"/>
          </w:tcPr>
          <w:p w14:paraId="748FB26D" w14:textId="77777777" w:rsidR="004436D3" w:rsidRPr="002B1587" w:rsidRDefault="004436D3" w:rsidP="00F61E1E">
            <w:pPr>
              <w:spacing w:before="120" w:after="120"/>
              <w:jc w:val="both"/>
              <w:rPr>
                <w:rFonts w:cs="Arial"/>
                <w:b/>
                <w:bCs/>
                <w:sz w:val="20"/>
              </w:rPr>
            </w:pPr>
            <w:bookmarkStart w:id="14" w:name="_Hlk35286125"/>
            <w:r w:rsidRPr="002B1587">
              <w:rPr>
                <w:rFonts w:cs="Arial"/>
                <w:b/>
                <w:bCs/>
                <w:sz w:val="20"/>
              </w:rPr>
              <w:t>Q20</w:t>
            </w:r>
          </w:p>
        </w:tc>
        <w:tc>
          <w:tcPr>
            <w:tcW w:w="1710" w:type="dxa"/>
            <w:shd w:val="clear" w:color="auto" w:fill="EEECE1" w:themeFill="background2"/>
          </w:tcPr>
          <w:p w14:paraId="47BCE7BF" w14:textId="77777777" w:rsidR="004436D3" w:rsidRPr="002B1587" w:rsidRDefault="004436D3" w:rsidP="00F61E1E">
            <w:pPr>
              <w:spacing w:before="120" w:after="120"/>
              <w:jc w:val="both"/>
              <w:rPr>
                <w:rFonts w:cs="Arial"/>
                <w:b/>
                <w:bCs/>
                <w:sz w:val="20"/>
              </w:rPr>
            </w:pPr>
            <w:r w:rsidRPr="002B1587">
              <w:rPr>
                <w:rFonts w:eastAsia="Calibri" w:cs="Arial"/>
                <w:b/>
                <w:bCs/>
                <w:sz w:val="20"/>
              </w:rPr>
              <w:t>Appendix 7, #122</w:t>
            </w:r>
          </w:p>
        </w:tc>
        <w:tc>
          <w:tcPr>
            <w:tcW w:w="1710" w:type="dxa"/>
            <w:shd w:val="clear" w:color="auto" w:fill="EEECE1" w:themeFill="background2"/>
          </w:tcPr>
          <w:p w14:paraId="351376CF" w14:textId="77777777" w:rsidR="004436D3" w:rsidRPr="002B1587" w:rsidRDefault="004436D3" w:rsidP="00F61E1E">
            <w:pPr>
              <w:spacing w:before="120" w:after="120"/>
              <w:jc w:val="both"/>
              <w:rPr>
                <w:rFonts w:cs="Arial"/>
                <w:b/>
                <w:bCs/>
                <w:sz w:val="20"/>
              </w:rPr>
            </w:pPr>
            <w:r w:rsidRPr="002B1587">
              <w:rPr>
                <w:rFonts w:eastAsia="Calibri" w:cs="Arial"/>
                <w:b/>
                <w:bCs/>
                <w:sz w:val="20"/>
              </w:rPr>
              <w:t>11 of 28</w:t>
            </w:r>
          </w:p>
        </w:tc>
        <w:tc>
          <w:tcPr>
            <w:tcW w:w="3420" w:type="dxa"/>
            <w:shd w:val="clear" w:color="auto" w:fill="EEECE1" w:themeFill="background2"/>
          </w:tcPr>
          <w:p w14:paraId="46C1B6AB" w14:textId="77777777" w:rsidR="004436D3" w:rsidRPr="002B1587" w:rsidRDefault="004436D3" w:rsidP="00F61E1E">
            <w:pPr>
              <w:spacing w:before="120" w:after="120"/>
              <w:rPr>
                <w:rFonts w:cs="Arial"/>
                <w:b/>
                <w:bCs/>
                <w:sz w:val="20"/>
              </w:rPr>
            </w:pPr>
            <w:r w:rsidRPr="002B1587">
              <w:rPr>
                <w:rFonts w:eastAsia="Calibri" w:cs="Arial"/>
                <w:b/>
                <w:bCs/>
                <w:sz w:val="20"/>
              </w:rPr>
              <w:t>Please clarify the definition of “common data.”</w:t>
            </w:r>
          </w:p>
        </w:tc>
        <w:tc>
          <w:tcPr>
            <w:tcW w:w="5490" w:type="dxa"/>
            <w:shd w:val="clear" w:color="auto" w:fill="EEECE1" w:themeFill="background2"/>
          </w:tcPr>
          <w:p w14:paraId="1089A54D" w14:textId="7EDEBF04" w:rsidR="004436D3" w:rsidRPr="002B1587" w:rsidRDefault="004436D3" w:rsidP="00F61E1E">
            <w:pPr>
              <w:spacing w:before="120" w:after="120"/>
              <w:rPr>
                <w:rFonts w:cs="Arial"/>
                <w:b/>
                <w:bCs/>
                <w:sz w:val="20"/>
              </w:rPr>
            </w:pPr>
            <w:r w:rsidRPr="00841709">
              <w:rPr>
                <w:rFonts w:cs="Arial"/>
                <w:b/>
                <w:bCs/>
                <w:sz w:val="20"/>
              </w:rPr>
              <w:t>Common data is information that is utilized within multiple systems at ETF and will be centrally managed in a Master Data Management solution.  For example</w:t>
            </w:r>
            <w:r>
              <w:rPr>
                <w:rFonts w:cs="Arial"/>
                <w:b/>
                <w:bCs/>
                <w:sz w:val="20"/>
              </w:rPr>
              <w:t>,</w:t>
            </w:r>
            <w:r w:rsidRPr="00841709">
              <w:rPr>
                <w:rFonts w:cs="Arial"/>
                <w:b/>
                <w:bCs/>
                <w:sz w:val="20"/>
              </w:rPr>
              <w:t xml:space="preserve"> </w:t>
            </w:r>
            <w:r w:rsidRPr="00841709">
              <w:rPr>
                <w:rFonts w:cs="Arial"/>
                <w:b/>
                <w:bCs/>
                <w:sz w:val="20"/>
              </w:rPr>
              <w:lastRenderedPageBreak/>
              <w:t>person demographics (first name, last name, date of birth, etc.) would be 'common data'.  Reference data (codes, lookup values, etc.) that is used by multiple systems would also be 'common data'.</w:t>
            </w:r>
          </w:p>
        </w:tc>
      </w:tr>
      <w:tr w:rsidR="004436D3" w:rsidRPr="002B1587" w14:paraId="3D04CAE6" w14:textId="77777777" w:rsidTr="00AC3150">
        <w:tc>
          <w:tcPr>
            <w:tcW w:w="720" w:type="dxa"/>
            <w:shd w:val="clear" w:color="auto" w:fill="DBE5F1" w:themeFill="accent1" w:themeFillTint="33"/>
          </w:tcPr>
          <w:p w14:paraId="428D1B8F" w14:textId="77777777" w:rsidR="004436D3" w:rsidRPr="002B1587" w:rsidRDefault="004436D3" w:rsidP="00F61E1E">
            <w:pPr>
              <w:spacing w:after="160" w:line="259" w:lineRule="auto"/>
              <w:rPr>
                <w:rFonts w:cs="Arial"/>
                <w:b/>
                <w:bCs/>
                <w:sz w:val="20"/>
              </w:rPr>
            </w:pPr>
            <w:bookmarkStart w:id="15" w:name="_Hlk34835223"/>
            <w:bookmarkEnd w:id="14"/>
            <w:r w:rsidRPr="002B1587">
              <w:rPr>
                <w:rFonts w:cs="Arial"/>
                <w:b/>
                <w:bCs/>
                <w:sz w:val="20"/>
              </w:rPr>
              <w:lastRenderedPageBreak/>
              <w:t>Q21</w:t>
            </w:r>
          </w:p>
        </w:tc>
        <w:tc>
          <w:tcPr>
            <w:tcW w:w="1710" w:type="dxa"/>
            <w:shd w:val="clear" w:color="auto" w:fill="DBE5F1" w:themeFill="accent1" w:themeFillTint="33"/>
          </w:tcPr>
          <w:p w14:paraId="3A67277F" w14:textId="77777777" w:rsidR="004436D3" w:rsidRPr="002B1587" w:rsidRDefault="004436D3" w:rsidP="00F61E1E">
            <w:pPr>
              <w:spacing w:before="120" w:after="120"/>
              <w:jc w:val="both"/>
              <w:rPr>
                <w:rFonts w:eastAsia="Calibri" w:cs="Arial"/>
                <w:b/>
                <w:bCs/>
                <w:sz w:val="20"/>
              </w:rPr>
            </w:pPr>
            <w:r w:rsidRPr="002B1587">
              <w:rPr>
                <w:rFonts w:eastAsia="Calibri" w:cs="Arial"/>
                <w:b/>
                <w:bCs/>
                <w:sz w:val="20"/>
              </w:rPr>
              <w:t>Appendix 7, #124</w:t>
            </w:r>
          </w:p>
        </w:tc>
        <w:tc>
          <w:tcPr>
            <w:tcW w:w="1710" w:type="dxa"/>
            <w:shd w:val="clear" w:color="auto" w:fill="DBE5F1" w:themeFill="accent1" w:themeFillTint="33"/>
          </w:tcPr>
          <w:p w14:paraId="22631838" w14:textId="77777777" w:rsidR="004436D3" w:rsidRPr="002B1587" w:rsidRDefault="004436D3" w:rsidP="00F61E1E">
            <w:pPr>
              <w:spacing w:before="120" w:after="120"/>
              <w:jc w:val="both"/>
              <w:rPr>
                <w:rFonts w:eastAsia="Calibri" w:cs="Arial"/>
                <w:b/>
                <w:bCs/>
                <w:sz w:val="20"/>
              </w:rPr>
            </w:pPr>
            <w:r w:rsidRPr="002B1587">
              <w:rPr>
                <w:rFonts w:eastAsia="Calibri" w:cs="Arial"/>
                <w:b/>
                <w:bCs/>
                <w:sz w:val="20"/>
              </w:rPr>
              <w:t>11 of 28</w:t>
            </w:r>
          </w:p>
        </w:tc>
        <w:tc>
          <w:tcPr>
            <w:tcW w:w="3420" w:type="dxa"/>
            <w:shd w:val="clear" w:color="auto" w:fill="DBE5F1" w:themeFill="accent1" w:themeFillTint="33"/>
          </w:tcPr>
          <w:p w14:paraId="4EA4D118" w14:textId="77777777" w:rsidR="004436D3" w:rsidRPr="002B1587" w:rsidRDefault="004436D3" w:rsidP="00F61E1E">
            <w:pPr>
              <w:spacing w:before="120" w:after="120"/>
              <w:rPr>
                <w:rFonts w:cs="Arial"/>
                <w:b/>
                <w:bCs/>
                <w:sz w:val="20"/>
              </w:rPr>
            </w:pPr>
            <w:r w:rsidRPr="002B1587">
              <w:rPr>
                <w:rFonts w:cs="Arial"/>
                <w:b/>
                <w:bCs/>
                <w:sz w:val="20"/>
              </w:rPr>
              <w:t>Related to ETF’s responses Q12 here regarding banking/lockbox administration, please describe frequency of current payment data feeds relative to premium billing administration.</w:t>
            </w:r>
          </w:p>
        </w:tc>
        <w:tc>
          <w:tcPr>
            <w:tcW w:w="5490" w:type="dxa"/>
            <w:shd w:val="clear" w:color="auto" w:fill="DBE5F1" w:themeFill="accent1" w:themeFillTint="33"/>
          </w:tcPr>
          <w:p w14:paraId="23F65AC4" w14:textId="1C995F75" w:rsidR="004436D3" w:rsidRPr="002B1587" w:rsidRDefault="004436D3" w:rsidP="00F61E1E">
            <w:pPr>
              <w:spacing w:before="120" w:after="120"/>
              <w:rPr>
                <w:rFonts w:cs="Arial"/>
                <w:b/>
                <w:bCs/>
                <w:sz w:val="20"/>
              </w:rPr>
            </w:pPr>
            <w:r w:rsidRPr="00841709">
              <w:rPr>
                <w:rFonts w:cs="Arial"/>
                <w:b/>
                <w:bCs/>
                <w:sz w:val="20"/>
              </w:rPr>
              <w:t xml:space="preserve">ETF calculates premiums on a monthly basis for participating employers. </w:t>
            </w:r>
            <w:r>
              <w:rPr>
                <w:rFonts w:cs="Arial"/>
                <w:b/>
                <w:bCs/>
                <w:sz w:val="20"/>
              </w:rPr>
              <w:t>Employers then log into MEBS, our current health insurance system, from where they are directed to US Bank’s ePay site to make payment. The</w:t>
            </w:r>
            <w:r w:rsidRPr="00841709">
              <w:rPr>
                <w:rFonts w:cs="Arial"/>
                <w:b/>
                <w:bCs/>
                <w:sz w:val="20"/>
              </w:rPr>
              <w:t xml:space="preserve"> bank returns a daily file to ETF with payment data for processing.</w:t>
            </w:r>
          </w:p>
        </w:tc>
      </w:tr>
      <w:tr w:rsidR="004436D3" w:rsidRPr="006411D8" w14:paraId="5F1B124C" w14:textId="77777777" w:rsidTr="00AC3150">
        <w:tc>
          <w:tcPr>
            <w:tcW w:w="720" w:type="dxa"/>
            <w:shd w:val="clear" w:color="auto" w:fill="EEECE1" w:themeFill="background2"/>
          </w:tcPr>
          <w:p w14:paraId="7BE8AE25" w14:textId="77777777" w:rsidR="004436D3" w:rsidRPr="006411D8" w:rsidRDefault="004436D3" w:rsidP="00F61E1E">
            <w:pPr>
              <w:spacing w:before="120" w:after="120"/>
              <w:jc w:val="both"/>
              <w:rPr>
                <w:rFonts w:cs="Arial"/>
                <w:b/>
                <w:bCs/>
                <w:sz w:val="20"/>
              </w:rPr>
            </w:pPr>
            <w:bookmarkStart w:id="16" w:name="_Hlk34835196"/>
            <w:bookmarkEnd w:id="15"/>
            <w:r w:rsidRPr="006411D8">
              <w:rPr>
                <w:rFonts w:eastAsia="Calibri" w:cs="Arial"/>
                <w:b/>
                <w:bCs/>
                <w:sz w:val="20"/>
              </w:rPr>
              <w:t>Q22</w:t>
            </w:r>
          </w:p>
        </w:tc>
        <w:tc>
          <w:tcPr>
            <w:tcW w:w="1710" w:type="dxa"/>
            <w:shd w:val="clear" w:color="auto" w:fill="EEECE1" w:themeFill="background2"/>
          </w:tcPr>
          <w:p w14:paraId="286DC46B" w14:textId="77777777" w:rsidR="004436D3" w:rsidRPr="006411D8" w:rsidRDefault="004436D3" w:rsidP="00F61E1E">
            <w:pPr>
              <w:spacing w:before="120" w:after="120"/>
              <w:jc w:val="both"/>
              <w:rPr>
                <w:rFonts w:eastAsia="Calibri" w:cs="Arial"/>
                <w:b/>
                <w:bCs/>
                <w:sz w:val="20"/>
              </w:rPr>
            </w:pPr>
            <w:r w:rsidRPr="006411D8">
              <w:rPr>
                <w:rFonts w:eastAsia="Calibri" w:cs="Arial"/>
                <w:b/>
                <w:bCs/>
                <w:sz w:val="20"/>
              </w:rPr>
              <w:t>Appendix 4, #4.1</w:t>
            </w:r>
          </w:p>
        </w:tc>
        <w:tc>
          <w:tcPr>
            <w:tcW w:w="1710" w:type="dxa"/>
            <w:shd w:val="clear" w:color="auto" w:fill="EEECE1" w:themeFill="background2"/>
          </w:tcPr>
          <w:p w14:paraId="161503D5" w14:textId="77777777" w:rsidR="004436D3" w:rsidRPr="006411D8" w:rsidRDefault="004436D3" w:rsidP="00F61E1E">
            <w:pPr>
              <w:spacing w:before="120" w:after="120"/>
              <w:jc w:val="both"/>
              <w:rPr>
                <w:rFonts w:eastAsia="Calibri" w:cs="Arial"/>
                <w:b/>
                <w:bCs/>
                <w:sz w:val="20"/>
              </w:rPr>
            </w:pPr>
            <w:r w:rsidRPr="006411D8">
              <w:rPr>
                <w:rFonts w:eastAsia="Calibri" w:cs="Arial"/>
                <w:b/>
                <w:bCs/>
                <w:sz w:val="20"/>
              </w:rPr>
              <w:t>1 of 2</w:t>
            </w:r>
          </w:p>
        </w:tc>
        <w:tc>
          <w:tcPr>
            <w:tcW w:w="3420" w:type="dxa"/>
            <w:shd w:val="clear" w:color="auto" w:fill="EEECE1" w:themeFill="background2"/>
          </w:tcPr>
          <w:p w14:paraId="3F40B661" w14:textId="77777777" w:rsidR="004436D3" w:rsidRPr="006411D8" w:rsidRDefault="004436D3" w:rsidP="00F61E1E">
            <w:pPr>
              <w:spacing w:before="60" w:after="60"/>
              <w:jc w:val="both"/>
              <w:rPr>
                <w:rFonts w:eastAsia="Arial" w:cs="Arial"/>
                <w:b/>
                <w:bCs/>
                <w:sz w:val="20"/>
              </w:rPr>
            </w:pPr>
            <w:r w:rsidRPr="006411D8">
              <w:rPr>
                <w:rFonts w:eastAsia="Arial" w:cs="Arial"/>
                <w:b/>
                <w:bCs/>
                <w:sz w:val="20"/>
              </w:rPr>
              <w:t xml:space="preserve">Requirement states: Pursuant to Wis. Stat. </w:t>
            </w:r>
            <w:r w:rsidRPr="006411D8">
              <w:rPr>
                <w:rFonts w:eastAsia="Calibri" w:cs="Arial"/>
                <w:b/>
                <w:bCs/>
                <w:sz w:val="20"/>
              </w:rPr>
              <w:t>§ 16.705 (1r)</w:t>
            </w:r>
            <w:r w:rsidRPr="006411D8">
              <w:rPr>
                <w:rFonts w:eastAsia="Arial" w:cs="Arial"/>
                <w:b/>
                <w:bCs/>
                <w:sz w:val="20"/>
              </w:rPr>
              <w:t>, Services will be performed within the United States.</w:t>
            </w:r>
          </w:p>
          <w:p w14:paraId="30A18354" w14:textId="77777777" w:rsidR="004436D3" w:rsidRPr="006411D8" w:rsidRDefault="004436D3" w:rsidP="00F61E1E">
            <w:pPr>
              <w:spacing w:before="120" w:after="120"/>
              <w:rPr>
                <w:rFonts w:eastAsia="Calibri" w:cs="Arial"/>
                <w:b/>
                <w:bCs/>
                <w:sz w:val="20"/>
              </w:rPr>
            </w:pPr>
            <w:r w:rsidRPr="006411D8">
              <w:rPr>
                <w:rFonts w:eastAsia="Calibri" w:cs="Arial"/>
                <w:b/>
                <w:bCs/>
                <w:sz w:val="20"/>
              </w:rPr>
              <w:t>Further explanation &amp; definition of “services performed within the United States” i.e., client interactions or technical development work?</w:t>
            </w:r>
          </w:p>
        </w:tc>
        <w:tc>
          <w:tcPr>
            <w:tcW w:w="5490" w:type="dxa"/>
            <w:shd w:val="clear" w:color="auto" w:fill="EEECE1" w:themeFill="background2"/>
          </w:tcPr>
          <w:p w14:paraId="3F37EA0F" w14:textId="048DAAA6" w:rsidR="004436D3" w:rsidRPr="00063D50" w:rsidRDefault="004436D3" w:rsidP="00063D50">
            <w:pPr>
              <w:rPr>
                <w:rFonts w:ascii="Calibri" w:hAnsi="Calibri"/>
                <w:b/>
                <w:bCs/>
                <w:sz w:val="20"/>
              </w:rPr>
            </w:pPr>
            <w:r w:rsidRPr="006411D8">
              <w:rPr>
                <w:b/>
                <w:bCs/>
                <w:color w:val="000000"/>
                <w:sz w:val="20"/>
              </w:rPr>
              <w:t xml:space="preserve">The requirement in Wis. Stat. § 16.705(1r) allows agencies to </w:t>
            </w:r>
            <w:r w:rsidRPr="00540621">
              <w:rPr>
                <w:b/>
                <w:bCs/>
                <w:color w:val="000000"/>
                <w:sz w:val="20"/>
              </w:rPr>
              <w:t>“</w:t>
            </w:r>
            <w:r w:rsidRPr="00B74694">
              <w:rPr>
                <w:b/>
                <w:bCs/>
                <w:color w:val="000000"/>
                <w:sz w:val="20"/>
              </w:rPr>
              <w:t>purchase contractual services only if those services are performed within the United States.” This</w:t>
            </w:r>
            <w:r w:rsidRPr="006411D8">
              <w:rPr>
                <w:b/>
                <w:bCs/>
                <w:color w:val="000000"/>
                <w:sz w:val="20"/>
              </w:rPr>
              <w:t xml:space="preserve"> requirement applies to all services performed. ETF will review proposals to determine whether the services meet the criteria of Wis. Stat. § 16.705 (1r). Please also see RFP Addendum 1.</w:t>
            </w:r>
          </w:p>
        </w:tc>
      </w:tr>
      <w:bookmarkEnd w:id="16"/>
      <w:tr w:rsidR="004436D3" w:rsidRPr="006411D8" w14:paraId="543C31B4" w14:textId="77777777" w:rsidTr="00AC3150">
        <w:tc>
          <w:tcPr>
            <w:tcW w:w="720" w:type="dxa"/>
            <w:shd w:val="clear" w:color="auto" w:fill="DBE5F1" w:themeFill="accent1" w:themeFillTint="33"/>
          </w:tcPr>
          <w:p w14:paraId="2C99C713" w14:textId="77777777" w:rsidR="004436D3" w:rsidRPr="006411D8" w:rsidRDefault="004436D3" w:rsidP="00F61E1E">
            <w:pPr>
              <w:spacing w:before="120" w:after="120"/>
              <w:jc w:val="both"/>
              <w:rPr>
                <w:rFonts w:cs="Arial"/>
                <w:b/>
                <w:bCs/>
                <w:sz w:val="20"/>
              </w:rPr>
            </w:pPr>
            <w:r w:rsidRPr="006411D8">
              <w:rPr>
                <w:rFonts w:eastAsia="Calibri" w:cs="Arial"/>
                <w:b/>
                <w:bCs/>
                <w:sz w:val="20"/>
              </w:rPr>
              <w:t>Q23</w:t>
            </w:r>
          </w:p>
        </w:tc>
        <w:tc>
          <w:tcPr>
            <w:tcW w:w="1710" w:type="dxa"/>
            <w:shd w:val="clear" w:color="auto" w:fill="DBE5F1" w:themeFill="accent1" w:themeFillTint="33"/>
          </w:tcPr>
          <w:p w14:paraId="2276F919" w14:textId="77777777" w:rsidR="004436D3" w:rsidRPr="006411D8" w:rsidRDefault="004436D3" w:rsidP="00F61E1E">
            <w:pPr>
              <w:spacing w:before="120" w:after="120"/>
              <w:jc w:val="both"/>
              <w:rPr>
                <w:rFonts w:eastAsia="Calibri" w:cs="Arial"/>
                <w:b/>
                <w:bCs/>
                <w:sz w:val="20"/>
              </w:rPr>
            </w:pPr>
            <w:r w:rsidRPr="006411D8">
              <w:rPr>
                <w:rFonts w:eastAsia="Calibri" w:cs="Arial"/>
                <w:b/>
                <w:bCs/>
                <w:sz w:val="20"/>
              </w:rPr>
              <w:t>Appendix 4, #4.2</w:t>
            </w:r>
          </w:p>
        </w:tc>
        <w:tc>
          <w:tcPr>
            <w:tcW w:w="1710" w:type="dxa"/>
            <w:shd w:val="clear" w:color="auto" w:fill="DBE5F1" w:themeFill="accent1" w:themeFillTint="33"/>
          </w:tcPr>
          <w:p w14:paraId="493EFBB7" w14:textId="77777777" w:rsidR="004436D3" w:rsidRPr="006411D8" w:rsidRDefault="004436D3" w:rsidP="00F61E1E">
            <w:pPr>
              <w:spacing w:before="120" w:after="120"/>
              <w:jc w:val="both"/>
              <w:rPr>
                <w:rFonts w:eastAsia="Calibri" w:cs="Arial"/>
                <w:b/>
                <w:bCs/>
                <w:sz w:val="20"/>
              </w:rPr>
            </w:pPr>
            <w:r w:rsidRPr="006411D8">
              <w:rPr>
                <w:rFonts w:eastAsia="Calibri" w:cs="Arial"/>
                <w:b/>
                <w:bCs/>
                <w:sz w:val="20"/>
              </w:rPr>
              <w:t>1 of 2</w:t>
            </w:r>
          </w:p>
        </w:tc>
        <w:tc>
          <w:tcPr>
            <w:tcW w:w="3420" w:type="dxa"/>
            <w:shd w:val="clear" w:color="auto" w:fill="DBE5F1" w:themeFill="accent1" w:themeFillTint="33"/>
          </w:tcPr>
          <w:p w14:paraId="104B67D6" w14:textId="77777777" w:rsidR="004436D3" w:rsidRPr="006411D8" w:rsidRDefault="004436D3" w:rsidP="00F61E1E">
            <w:pPr>
              <w:spacing w:before="120" w:after="120"/>
              <w:rPr>
                <w:rFonts w:eastAsia="Calibri" w:cs="Arial"/>
                <w:b/>
                <w:bCs/>
                <w:sz w:val="20"/>
              </w:rPr>
            </w:pPr>
            <w:r w:rsidRPr="006411D8">
              <w:rPr>
                <w:rFonts w:eastAsia="Calibri" w:cs="Arial"/>
                <w:b/>
                <w:bCs/>
                <w:sz w:val="20"/>
              </w:rPr>
              <w:t>Requirement states: “</w:t>
            </w:r>
            <w:r w:rsidRPr="006411D8">
              <w:rPr>
                <w:rFonts w:eastAsia="Arial" w:cs="Arial"/>
                <w:b/>
                <w:bCs/>
                <w:sz w:val="20"/>
              </w:rPr>
              <w:t>all written reports, drafts, presentations, data, and meeting materials, etc.) shall become the property of the Department.”</w:t>
            </w:r>
          </w:p>
          <w:p w14:paraId="37DB33BE" w14:textId="77777777" w:rsidR="004436D3" w:rsidRPr="006411D8" w:rsidRDefault="004436D3" w:rsidP="00F61E1E">
            <w:pPr>
              <w:spacing w:before="120" w:after="120"/>
              <w:rPr>
                <w:rFonts w:eastAsia="Calibri" w:cs="Arial"/>
                <w:b/>
                <w:bCs/>
                <w:sz w:val="20"/>
              </w:rPr>
            </w:pPr>
            <w:r w:rsidRPr="006411D8">
              <w:rPr>
                <w:rFonts w:eastAsia="Calibri" w:cs="Arial"/>
                <w:b/>
                <w:bCs/>
                <w:sz w:val="20"/>
              </w:rPr>
              <w:t>Verify proper marking of documents to ensure protection of FOIA</w:t>
            </w:r>
          </w:p>
        </w:tc>
        <w:tc>
          <w:tcPr>
            <w:tcW w:w="5490" w:type="dxa"/>
            <w:shd w:val="clear" w:color="auto" w:fill="DBE5F1" w:themeFill="accent1" w:themeFillTint="33"/>
          </w:tcPr>
          <w:p w14:paraId="6F5CBFEF" w14:textId="452B064A" w:rsidR="004436D3" w:rsidRPr="006411D8" w:rsidRDefault="004436D3" w:rsidP="00F61E1E">
            <w:pPr>
              <w:spacing w:before="120" w:after="120"/>
              <w:rPr>
                <w:rFonts w:cs="Arial"/>
                <w:b/>
                <w:bCs/>
                <w:sz w:val="20"/>
              </w:rPr>
            </w:pPr>
            <w:r w:rsidRPr="006411D8">
              <w:rPr>
                <w:b/>
                <w:bCs/>
                <w:color w:val="000000"/>
                <w:sz w:val="20"/>
              </w:rPr>
              <w:t>See Appendix 2 – Proposer Required Form Section 4: Designation of Confidential and Proprietary Information. Also see RFP Section 2.3.2 Folder 2 requiring vendor to provide an electronic redacted proposal excluding any confidential information. Section 22.0(a)(2)(iv) of the Department Terms and Conditions also includes proprietary information in the definition of confidential information.</w:t>
            </w:r>
          </w:p>
        </w:tc>
      </w:tr>
      <w:tr w:rsidR="004436D3" w:rsidRPr="00CA6E56" w14:paraId="24F3BAD5" w14:textId="77777777" w:rsidTr="00AC3150">
        <w:tc>
          <w:tcPr>
            <w:tcW w:w="720" w:type="dxa"/>
            <w:shd w:val="clear" w:color="auto" w:fill="EEECE1" w:themeFill="background2"/>
          </w:tcPr>
          <w:p w14:paraId="244BA63A" w14:textId="77777777" w:rsidR="004436D3" w:rsidRPr="00CA6E56" w:rsidRDefault="004436D3" w:rsidP="00F61E1E">
            <w:pPr>
              <w:spacing w:before="120" w:after="120"/>
              <w:jc w:val="both"/>
              <w:rPr>
                <w:rFonts w:cs="Arial"/>
                <w:b/>
                <w:bCs/>
                <w:sz w:val="20"/>
              </w:rPr>
            </w:pPr>
            <w:bookmarkStart w:id="17" w:name="_Hlk36015841"/>
            <w:r w:rsidRPr="00CA6E56">
              <w:rPr>
                <w:rFonts w:eastAsia="Calibri" w:cs="Arial"/>
                <w:b/>
                <w:bCs/>
                <w:sz w:val="20"/>
              </w:rPr>
              <w:t>Q24</w:t>
            </w:r>
          </w:p>
        </w:tc>
        <w:tc>
          <w:tcPr>
            <w:tcW w:w="1710" w:type="dxa"/>
            <w:shd w:val="clear" w:color="auto" w:fill="EEECE1" w:themeFill="background2"/>
          </w:tcPr>
          <w:p w14:paraId="0534BEC3" w14:textId="77777777" w:rsidR="004436D3" w:rsidRPr="00CA6E56" w:rsidRDefault="004436D3" w:rsidP="00F61E1E">
            <w:pPr>
              <w:spacing w:before="120" w:after="120"/>
              <w:jc w:val="both"/>
              <w:rPr>
                <w:rFonts w:eastAsia="Calibri" w:cs="Arial"/>
                <w:b/>
                <w:bCs/>
                <w:sz w:val="20"/>
              </w:rPr>
            </w:pPr>
          </w:p>
        </w:tc>
        <w:tc>
          <w:tcPr>
            <w:tcW w:w="1710" w:type="dxa"/>
            <w:shd w:val="clear" w:color="auto" w:fill="EEECE1" w:themeFill="background2"/>
          </w:tcPr>
          <w:p w14:paraId="53870173" w14:textId="77777777" w:rsidR="004436D3" w:rsidRPr="00CA6E56" w:rsidRDefault="004436D3" w:rsidP="00F61E1E">
            <w:pPr>
              <w:spacing w:before="120" w:after="120"/>
              <w:jc w:val="both"/>
              <w:rPr>
                <w:rFonts w:eastAsia="Calibri" w:cs="Arial"/>
                <w:b/>
                <w:bCs/>
                <w:sz w:val="20"/>
              </w:rPr>
            </w:pPr>
          </w:p>
        </w:tc>
        <w:tc>
          <w:tcPr>
            <w:tcW w:w="3420" w:type="dxa"/>
            <w:shd w:val="clear" w:color="auto" w:fill="EEECE1" w:themeFill="background2"/>
          </w:tcPr>
          <w:p w14:paraId="7D4F84F8" w14:textId="77777777" w:rsidR="004436D3" w:rsidRPr="00CA6E56" w:rsidRDefault="004436D3" w:rsidP="00F61E1E">
            <w:pPr>
              <w:spacing w:before="120" w:after="120" w:line="257" w:lineRule="auto"/>
              <w:rPr>
                <w:rFonts w:eastAsia="Calibri" w:cs="Arial"/>
                <w:b/>
                <w:bCs/>
                <w:sz w:val="20"/>
              </w:rPr>
            </w:pPr>
            <w:r w:rsidRPr="00CA6E56">
              <w:rPr>
                <w:rFonts w:eastAsia="Calibri" w:cs="Arial"/>
                <w:b/>
                <w:bCs/>
                <w:sz w:val="20"/>
              </w:rPr>
              <w:t xml:space="preserve">Is a benefit call center for employees and HR administrators (phone, email, and chat) support required? If so, please indicate if the following is in scope: Benefit question </w:t>
            </w:r>
            <w:r w:rsidRPr="00CA6E56">
              <w:rPr>
                <w:rFonts w:eastAsia="Calibri" w:cs="Arial"/>
                <w:b/>
                <w:bCs/>
                <w:sz w:val="20"/>
              </w:rPr>
              <w:lastRenderedPageBreak/>
              <w:t>support, telephonic enrollment, language translative support, warm transfers to carriers, claims advocacy services, etc.</w:t>
            </w:r>
          </w:p>
          <w:p w14:paraId="7C969F18" w14:textId="77777777" w:rsidR="004436D3" w:rsidRPr="00CA6E56" w:rsidRDefault="004436D3" w:rsidP="005B6FF8">
            <w:pPr>
              <w:pStyle w:val="ListParagraph"/>
              <w:numPr>
                <w:ilvl w:val="0"/>
                <w:numId w:val="6"/>
              </w:numPr>
              <w:spacing w:before="120" w:after="120" w:line="257" w:lineRule="auto"/>
              <w:rPr>
                <w:rFonts w:eastAsia="Calibri" w:cs="Arial"/>
                <w:b/>
                <w:bCs/>
                <w:sz w:val="20"/>
              </w:rPr>
            </w:pPr>
            <w:r w:rsidRPr="00CA6E56">
              <w:rPr>
                <w:rFonts w:eastAsia="Calibri" w:cs="Arial"/>
                <w:b/>
                <w:bCs/>
                <w:sz w:val="20"/>
              </w:rPr>
              <w:t xml:space="preserve">What is your current solution for employee call center? What is the scope of services they provide today? </w:t>
            </w:r>
          </w:p>
          <w:p w14:paraId="3A280508" w14:textId="77777777" w:rsidR="004436D3" w:rsidRPr="00CA6E56" w:rsidRDefault="004436D3" w:rsidP="005B6FF8">
            <w:pPr>
              <w:pStyle w:val="ListParagraph"/>
              <w:numPr>
                <w:ilvl w:val="0"/>
                <w:numId w:val="6"/>
              </w:numPr>
              <w:spacing w:before="120" w:after="120" w:line="257" w:lineRule="auto"/>
              <w:rPr>
                <w:rFonts w:eastAsia="Calibri" w:cs="Arial"/>
                <w:b/>
                <w:bCs/>
                <w:sz w:val="20"/>
              </w:rPr>
            </w:pPr>
            <w:r w:rsidRPr="00CA6E56">
              <w:rPr>
                <w:rFonts w:eastAsia="Calibri" w:cs="Arial"/>
                <w:b/>
                <w:bCs/>
                <w:sz w:val="20"/>
              </w:rPr>
              <w:t xml:space="preserve">Is manual review of dependent and life event verification paperwork in scope? If so, how many do you typically process each year? </w:t>
            </w:r>
          </w:p>
          <w:p w14:paraId="20CF1866" w14:textId="77777777" w:rsidR="004436D3" w:rsidRPr="00CA6E56" w:rsidRDefault="004436D3" w:rsidP="005B6FF8">
            <w:pPr>
              <w:pStyle w:val="ListParagraph"/>
              <w:numPr>
                <w:ilvl w:val="0"/>
                <w:numId w:val="6"/>
              </w:numPr>
              <w:spacing w:before="120" w:after="120" w:line="257" w:lineRule="auto"/>
              <w:rPr>
                <w:rFonts w:eastAsia="Calibri" w:cs="Arial"/>
                <w:b/>
                <w:bCs/>
                <w:sz w:val="20"/>
              </w:rPr>
            </w:pPr>
            <w:bookmarkStart w:id="18" w:name="_Hlk36211555"/>
            <w:r w:rsidRPr="00CA6E56">
              <w:rPr>
                <w:rFonts w:eastAsia="Calibri" w:cs="Arial"/>
                <w:b/>
                <w:bCs/>
                <w:sz w:val="20"/>
              </w:rPr>
              <w:t xml:space="preserve">Is QMCSO administration and qualification in scope? If so, how many do you typically receive each year? </w:t>
            </w:r>
          </w:p>
          <w:bookmarkEnd w:id="18"/>
          <w:p w14:paraId="7310BBB8" w14:textId="77777777" w:rsidR="004436D3" w:rsidRPr="00CA6E56" w:rsidRDefault="004436D3" w:rsidP="005B6FF8">
            <w:pPr>
              <w:pStyle w:val="ListParagraph"/>
              <w:numPr>
                <w:ilvl w:val="0"/>
                <w:numId w:val="6"/>
              </w:numPr>
              <w:spacing w:before="120" w:after="120" w:line="257" w:lineRule="auto"/>
              <w:rPr>
                <w:rFonts w:eastAsia="Calibri" w:cs="Arial"/>
                <w:b/>
                <w:bCs/>
                <w:sz w:val="20"/>
              </w:rPr>
            </w:pPr>
            <w:r w:rsidRPr="00CA6E56">
              <w:rPr>
                <w:rFonts w:eastAsia="Calibri" w:cs="Arial"/>
                <w:b/>
                <w:bCs/>
                <w:sz w:val="20"/>
              </w:rPr>
              <w:t xml:space="preserve">Is EOI approvals and coordination in scope? If so, how many do you typically process each year? </w:t>
            </w:r>
          </w:p>
          <w:p w14:paraId="0E9420A0" w14:textId="77777777" w:rsidR="004436D3" w:rsidRPr="00CA6E56" w:rsidRDefault="004436D3" w:rsidP="005B6FF8">
            <w:pPr>
              <w:pStyle w:val="ListParagraph"/>
              <w:numPr>
                <w:ilvl w:val="0"/>
                <w:numId w:val="6"/>
              </w:numPr>
              <w:spacing w:before="120" w:after="120" w:line="257" w:lineRule="auto"/>
              <w:rPr>
                <w:rFonts w:eastAsia="Calibri" w:cs="Arial"/>
                <w:b/>
                <w:bCs/>
                <w:sz w:val="20"/>
              </w:rPr>
            </w:pPr>
            <w:r w:rsidRPr="00CA6E56">
              <w:rPr>
                <w:rFonts w:eastAsia="Calibri" w:cs="Arial"/>
                <w:b/>
                <w:bCs/>
                <w:sz w:val="20"/>
              </w:rPr>
              <w:t xml:space="preserve">Are employee eligibility appeals in scope? If so, how many do you typically process each year? </w:t>
            </w:r>
          </w:p>
          <w:p w14:paraId="55499FCE" w14:textId="77777777" w:rsidR="004436D3" w:rsidRPr="00CA6E56" w:rsidRDefault="004436D3" w:rsidP="005B6FF8">
            <w:pPr>
              <w:pStyle w:val="ListParagraph"/>
              <w:numPr>
                <w:ilvl w:val="0"/>
                <w:numId w:val="6"/>
              </w:numPr>
              <w:spacing w:before="120" w:after="120" w:line="257" w:lineRule="auto"/>
              <w:rPr>
                <w:rFonts w:eastAsia="Calibri" w:cs="Arial"/>
                <w:b/>
                <w:bCs/>
                <w:sz w:val="20"/>
              </w:rPr>
            </w:pPr>
            <w:r w:rsidRPr="00CA6E56">
              <w:rPr>
                <w:rFonts w:eastAsia="Calibri" w:cs="Arial"/>
                <w:b/>
                <w:bCs/>
                <w:sz w:val="20"/>
              </w:rPr>
              <w:t xml:space="preserve">Is print fulfillment in scope? If so, please provide specifications and counts. </w:t>
            </w:r>
          </w:p>
          <w:p w14:paraId="03F53482" w14:textId="77777777" w:rsidR="004436D3" w:rsidRPr="00CA6E56" w:rsidRDefault="004436D3" w:rsidP="005B6FF8">
            <w:pPr>
              <w:pStyle w:val="ListParagraph"/>
              <w:numPr>
                <w:ilvl w:val="0"/>
                <w:numId w:val="6"/>
              </w:numPr>
              <w:spacing w:before="120" w:after="120" w:line="257" w:lineRule="auto"/>
              <w:rPr>
                <w:rFonts w:eastAsia="Calibri" w:cs="Arial"/>
                <w:b/>
                <w:bCs/>
                <w:sz w:val="20"/>
              </w:rPr>
            </w:pPr>
            <w:r w:rsidRPr="00CA6E56">
              <w:rPr>
                <w:rFonts w:eastAsia="Calibri" w:cs="Arial"/>
                <w:b/>
                <w:bCs/>
                <w:sz w:val="20"/>
              </w:rPr>
              <w:t>Do you have more than one Open Enrollment each year? If so, please indicate how many and length of each (weeks)</w:t>
            </w:r>
          </w:p>
          <w:p w14:paraId="4C6F0331" w14:textId="70EC103A" w:rsidR="004436D3" w:rsidRPr="00CA6E56" w:rsidRDefault="004436D3" w:rsidP="005B6FF8">
            <w:pPr>
              <w:pStyle w:val="ListParagraph"/>
              <w:numPr>
                <w:ilvl w:val="0"/>
                <w:numId w:val="6"/>
              </w:numPr>
              <w:spacing w:before="120" w:after="120" w:line="257" w:lineRule="auto"/>
              <w:rPr>
                <w:rFonts w:eastAsia="Calibri" w:cs="Arial"/>
                <w:b/>
                <w:bCs/>
                <w:sz w:val="20"/>
              </w:rPr>
            </w:pPr>
            <w:r w:rsidRPr="00CA6E56">
              <w:rPr>
                <w:rFonts w:eastAsia="Calibri" w:cs="Arial"/>
                <w:b/>
                <w:bCs/>
                <w:sz w:val="20"/>
              </w:rPr>
              <w:lastRenderedPageBreak/>
              <w:t xml:space="preserve">What percentage of your population is non-English speaking? </w:t>
            </w:r>
          </w:p>
        </w:tc>
        <w:tc>
          <w:tcPr>
            <w:tcW w:w="5490" w:type="dxa"/>
            <w:shd w:val="clear" w:color="auto" w:fill="EEECE1" w:themeFill="background2"/>
          </w:tcPr>
          <w:p w14:paraId="23C04E8E" w14:textId="26671EF3" w:rsidR="004436D3" w:rsidRPr="00CA6E56" w:rsidRDefault="004436D3" w:rsidP="00B33D9A">
            <w:pPr>
              <w:pStyle w:val="ListParagraph"/>
              <w:numPr>
                <w:ilvl w:val="0"/>
                <w:numId w:val="33"/>
              </w:numPr>
              <w:spacing w:before="120" w:after="120"/>
              <w:rPr>
                <w:rFonts w:cs="Arial"/>
                <w:b/>
                <w:bCs/>
                <w:sz w:val="20"/>
              </w:rPr>
            </w:pPr>
            <w:r w:rsidRPr="00CA6E56">
              <w:rPr>
                <w:rFonts w:cs="Arial"/>
                <w:b/>
                <w:bCs/>
                <w:sz w:val="20"/>
              </w:rPr>
              <w:lastRenderedPageBreak/>
              <w:t>A full benefit call center is not within the scope of this RFP. However, if the Proposer’s system offers full benefit call center functionality, please provide details in Appendix 7, Question Q113 and include any associated costs in Appendix 8.</w:t>
            </w:r>
          </w:p>
          <w:p w14:paraId="5D1B1CC7" w14:textId="77777777" w:rsidR="004436D3" w:rsidRPr="00CA6E56" w:rsidRDefault="004436D3" w:rsidP="00FC6A4D">
            <w:pPr>
              <w:pStyle w:val="ListParagraph"/>
              <w:spacing w:before="120" w:after="120"/>
              <w:ind w:left="360"/>
              <w:rPr>
                <w:rFonts w:cs="Arial"/>
                <w:b/>
                <w:bCs/>
                <w:sz w:val="20"/>
              </w:rPr>
            </w:pPr>
          </w:p>
          <w:p w14:paraId="31B6267E" w14:textId="7E84F65B" w:rsidR="004436D3" w:rsidRPr="00CA6E56" w:rsidRDefault="004436D3" w:rsidP="00E007F3">
            <w:pPr>
              <w:pStyle w:val="ListParagraph"/>
              <w:numPr>
                <w:ilvl w:val="0"/>
                <w:numId w:val="33"/>
              </w:numPr>
              <w:spacing w:before="120" w:after="120"/>
              <w:rPr>
                <w:b/>
                <w:bCs/>
                <w:sz w:val="20"/>
              </w:rPr>
            </w:pPr>
            <w:r w:rsidRPr="00CA6E56">
              <w:rPr>
                <w:b/>
                <w:bCs/>
                <w:color w:val="000000"/>
                <w:sz w:val="20"/>
              </w:rPr>
              <w:lastRenderedPageBreak/>
              <w:t>ETF currently has a manual review process for dependent and life event paperwork. Although we don’t have any definitive statistics of volume, we estimate 2500-4000 such documents are received and manually reviewed each year.</w:t>
            </w:r>
          </w:p>
          <w:p w14:paraId="6CC3DAE5" w14:textId="75939DB3" w:rsidR="004436D3" w:rsidRPr="00CA6E56" w:rsidRDefault="004436D3" w:rsidP="004F75A9">
            <w:pPr>
              <w:spacing w:before="120" w:after="120"/>
              <w:ind w:left="360"/>
              <w:rPr>
                <w:b/>
                <w:bCs/>
                <w:sz w:val="20"/>
              </w:rPr>
            </w:pPr>
            <w:r w:rsidRPr="00CA6E56">
              <w:rPr>
                <w:rFonts w:cs="Arial"/>
                <w:b/>
                <w:bCs/>
                <w:sz w:val="20"/>
              </w:rPr>
              <w:t>We are interested in any capabilities the Proposer’s system may offer to streamline, automate, and manage this process.</w:t>
            </w:r>
          </w:p>
          <w:p w14:paraId="4BFEE7F4" w14:textId="0E5D8B9C" w:rsidR="004436D3" w:rsidRPr="00CA6E56" w:rsidRDefault="004436D3" w:rsidP="004F75A9">
            <w:pPr>
              <w:pStyle w:val="ListParagraph"/>
              <w:numPr>
                <w:ilvl w:val="0"/>
                <w:numId w:val="33"/>
              </w:numPr>
              <w:spacing w:before="120" w:after="120"/>
              <w:rPr>
                <w:b/>
                <w:bCs/>
                <w:sz w:val="20"/>
              </w:rPr>
            </w:pPr>
            <w:r w:rsidRPr="00CA6E56">
              <w:rPr>
                <w:b/>
                <w:bCs/>
                <w:color w:val="000000"/>
                <w:sz w:val="20"/>
              </w:rPr>
              <w:t>Currently, ETF’s role in processing National Medical Support Notices (NMSN) is minimal. Employers are responsible for completing the forms for active employees and returning them to the appropriate court or child support agency. They also send a copy to ETF, where our staff then manually add the dependent to the health insurance contract. In the last year, we received 68 NMSNs from employers.</w:t>
            </w:r>
          </w:p>
          <w:p w14:paraId="060186EC" w14:textId="77777777" w:rsidR="004436D3" w:rsidRPr="00CA6E56" w:rsidRDefault="004436D3" w:rsidP="006546EF">
            <w:pPr>
              <w:pStyle w:val="ListParagraph"/>
              <w:spacing w:before="120" w:after="120"/>
              <w:ind w:left="360"/>
              <w:rPr>
                <w:b/>
                <w:bCs/>
                <w:sz w:val="20"/>
              </w:rPr>
            </w:pPr>
          </w:p>
          <w:p w14:paraId="33EF8F3C" w14:textId="35C1A189" w:rsidR="004436D3" w:rsidRPr="00CA6E56" w:rsidRDefault="004436D3" w:rsidP="006546EF">
            <w:pPr>
              <w:pStyle w:val="ListParagraph"/>
              <w:spacing w:before="120" w:after="120"/>
              <w:ind w:left="360"/>
              <w:rPr>
                <w:b/>
                <w:bCs/>
                <w:color w:val="000000"/>
                <w:sz w:val="20"/>
              </w:rPr>
            </w:pPr>
            <w:r w:rsidRPr="00CA6E56">
              <w:rPr>
                <w:b/>
                <w:bCs/>
                <w:color w:val="000000"/>
                <w:sz w:val="20"/>
              </w:rPr>
              <w:t xml:space="preserve">ETF completes this process for retirees. Typically, we receive less than five (5) NMSNs for retirees per year. </w:t>
            </w:r>
          </w:p>
          <w:p w14:paraId="605ED1A5" w14:textId="309D8EB8" w:rsidR="004436D3" w:rsidRPr="00CA6E56" w:rsidRDefault="004436D3" w:rsidP="006546EF">
            <w:pPr>
              <w:pStyle w:val="ListParagraph"/>
              <w:spacing w:before="120" w:after="120"/>
              <w:ind w:left="360"/>
              <w:rPr>
                <w:b/>
                <w:bCs/>
                <w:color w:val="000000"/>
                <w:sz w:val="20"/>
              </w:rPr>
            </w:pPr>
          </w:p>
          <w:p w14:paraId="7F38F8DF" w14:textId="7C31F319" w:rsidR="004436D3" w:rsidRPr="00CA6E56" w:rsidRDefault="004436D3" w:rsidP="006546EF">
            <w:pPr>
              <w:pStyle w:val="ListParagraph"/>
              <w:spacing w:before="120" w:after="120"/>
              <w:ind w:left="360"/>
              <w:rPr>
                <w:b/>
                <w:bCs/>
                <w:color w:val="000000"/>
                <w:sz w:val="20"/>
              </w:rPr>
            </w:pPr>
            <w:r w:rsidRPr="00CA6E56">
              <w:rPr>
                <w:b/>
                <w:bCs/>
                <w:color w:val="000000"/>
                <w:sz w:val="20"/>
              </w:rPr>
              <w:t xml:space="preserve">Although the volume is small, we need a way to process these transactions in the new IAS. We are interested in how the Proposer’s system can accommodate these occurrences. </w:t>
            </w:r>
          </w:p>
          <w:p w14:paraId="2A8E9237" w14:textId="77777777" w:rsidR="004436D3" w:rsidRPr="00CA6E56" w:rsidRDefault="004436D3" w:rsidP="00E73BE6">
            <w:pPr>
              <w:pStyle w:val="ListParagraph"/>
              <w:spacing w:before="120" w:after="120"/>
              <w:ind w:left="360"/>
              <w:rPr>
                <w:b/>
                <w:bCs/>
                <w:sz w:val="20"/>
                <w:highlight w:val="yellow"/>
              </w:rPr>
            </w:pPr>
          </w:p>
          <w:p w14:paraId="3B79D5FD" w14:textId="4592BF24" w:rsidR="004436D3" w:rsidRPr="00CA6E56" w:rsidRDefault="004436D3" w:rsidP="00E73BE6">
            <w:pPr>
              <w:pStyle w:val="ListParagraph"/>
              <w:numPr>
                <w:ilvl w:val="0"/>
                <w:numId w:val="33"/>
              </w:numPr>
              <w:spacing w:before="120" w:after="120"/>
              <w:rPr>
                <w:b/>
                <w:bCs/>
                <w:sz w:val="20"/>
              </w:rPr>
            </w:pPr>
            <w:r w:rsidRPr="00CA6E56">
              <w:rPr>
                <w:b/>
                <w:bCs/>
                <w:color w:val="000000"/>
                <w:sz w:val="20"/>
              </w:rPr>
              <w:t xml:space="preserve">ETF does not provide an Evidence of Insurability (EOI) option for the health insurance or supplemental benefit programs. </w:t>
            </w:r>
          </w:p>
          <w:p w14:paraId="0856B403" w14:textId="072B2F0D" w:rsidR="004436D3" w:rsidRPr="00CA6E56" w:rsidRDefault="004436D3" w:rsidP="000F2AAC">
            <w:pPr>
              <w:spacing w:before="120" w:after="120"/>
              <w:ind w:left="360"/>
              <w:rPr>
                <w:b/>
                <w:bCs/>
                <w:color w:val="000000"/>
                <w:sz w:val="20"/>
              </w:rPr>
            </w:pPr>
            <w:r w:rsidRPr="00CA6E56">
              <w:rPr>
                <w:b/>
                <w:bCs/>
                <w:color w:val="000000"/>
                <w:sz w:val="20"/>
              </w:rPr>
              <w:t xml:space="preserve">We do, however, have EOI for life and ICI. Our designated TPAs for those programs are responsible for the EOI review and approvals. In 2018, 892 EOI requests for life insurance were received, of which 666 were approved for coverage. </w:t>
            </w:r>
            <w:r w:rsidRPr="00CA6E56">
              <w:rPr>
                <w:b/>
                <w:bCs/>
                <w:color w:val="000000"/>
                <w:sz w:val="20"/>
              </w:rPr>
              <w:lastRenderedPageBreak/>
              <w:t>Over the last five (5) years, ICI has averaged 298 EOI applications per year.</w:t>
            </w:r>
          </w:p>
          <w:p w14:paraId="2C51B31A" w14:textId="77777777" w:rsidR="004436D3" w:rsidRPr="00CA6E56" w:rsidRDefault="004436D3" w:rsidP="004F75A9">
            <w:pPr>
              <w:pStyle w:val="ListParagraph"/>
              <w:spacing w:before="120" w:after="120"/>
              <w:ind w:left="360"/>
              <w:rPr>
                <w:b/>
                <w:bCs/>
                <w:sz w:val="20"/>
              </w:rPr>
            </w:pPr>
          </w:p>
          <w:p w14:paraId="53D3681A" w14:textId="00CA40FB" w:rsidR="004436D3" w:rsidRPr="00CA6E56" w:rsidRDefault="004436D3" w:rsidP="009447B1">
            <w:pPr>
              <w:pStyle w:val="ListParagraph"/>
              <w:numPr>
                <w:ilvl w:val="0"/>
                <w:numId w:val="33"/>
              </w:numPr>
              <w:spacing w:before="120" w:after="120"/>
              <w:rPr>
                <w:b/>
                <w:bCs/>
                <w:sz w:val="20"/>
              </w:rPr>
            </w:pPr>
            <w:r w:rsidRPr="00CA6E56">
              <w:rPr>
                <w:b/>
                <w:bCs/>
                <w:color w:val="000000"/>
                <w:sz w:val="20"/>
              </w:rPr>
              <w:t xml:space="preserve">ETF does not provide an employee eligibility appeal option (we call this an “employer error”) for the health insurance or supplemental benefit programs. </w:t>
            </w:r>
          </w:p>
          <w:p w14:paraId="6A2B929B" w14:textId="77777777" w:rsidR="004436D3" w:rsidRPr="00CA6E56" w:rsidRDefault="004436D3" w:rsidP="009447B1">
            <w:pPr>
              <w:pStyle w:val="ListParagraph"/>
              <w:spacing w:before="120" w:after="120"/>
              <w:ind w:left="360"/>
              <w:rPr>
                <w:b/>
                <w:bCs/>
                <w:sz w:val="20"/>
              </w:rPr>
            </w:pPr>
          </w:p>
          <w:p w14:paraId="014487F2" w14:textId="100385C0" w:rsidR="004436D3" w:rsidRPr="00CA6E56" w:rsidRDefault="004436D3" w:rsidP="009447B1">
            <w:pPr>
              <w:pStyle w:val="ListParagraph"/>
              <w:spacing w:before="120" w:after="120"/>
              <w:ind w:left="360"/>
              <w:rPr>
                <w:b/>
                <w:bCs/>
                <w:sz w:val="20"/>
              </w:rPr>
            </w:pPr>
            <w:r w:rsidRPr="00CA6E56">
              <w:rPr>
                <w:b/>
                <w:bCs/>
                <w:color w:val="000000"/>
                <w:sz w:val="20"/>
              </w:rPr>
              <w:t>We do, however, have a process to consider employer errors for life and ICI enrollment. We don’t have any definitive statistics on volume but estimate a few hundred per year. The ability to manage and facilitate this process and the subsequent enrollment for approved requests is within the scope of this RFP.</w:t>
            </w:r>
          </w:p>
          <w:p w14:paraId="3D2012E0" w14:textId="168B43A8" w:rsidR="004436D3" w:rsidRPr="00CA6E56" w:rsidRDefault="004436D3" w:rsidP="009447B1">
            <w:pPr>
              <w:pStyle w:val="ListParagraph"/>
              <w:spacing w:before="120" w:after="120"/>
              <w:ind w:left="360"/>
              <w:rPr>
                <w:b/>
                <w:bCs/>
                <w:sz w:val="20"/>
              </w:rPr>
            </w:pPr>
          </w:p>
          <w:p w14:paraId="58C7ECCE" w14:textId="43AEBC0F" w:rsidR="004436D3" w:rsidRPr="00CA6E56" w:rsidRDefault="004436D3" w:rsidP="0049067D">
            <w:pPr>
              <w:pStyle w:val="ListParagraph"/>
              <w:numPr>
                <w:ilvl w:val="0"/>
                <w:numId w:val="33"/>
              </w:numPr>
              <w:spacing w:before="120" w:after="120"/>
              <w:rPr>
                <w:b/>
                <w:bCs/>
                <w:sz w:val="20"/>
              </w:rPr>
            </w:pPr>
            <w:r w:rsidRPr="00CA6E56">
              <w:rPr>
                <w:rFonts w:cs="Arial"/>
                <w:b/>
                <w:bCs/>
                <w:sz w:val="20"/>
              </w:rPr>
              <w:t xml:space="preserve">ETF is interested in any capabilities the Proposer’s system offers to </w:t>
            </w:r>
            <w:r w:rsidRPr="00CA6E56">
              <w:rPr>
                <w:b/>
                <w:bCs/>
                <w:sz w:val="20"/>
              </w:rPr>
              <w:t xml:space="preserve">generate applicable and appropriate insurance-related communication and to facilitate electronic distribution via customer web portals. </w:t>
            </w:r>
          </w:p>
          <w:p w14:paraId="21716823" w14:textId="16B4D4A5" w:rsidR="004436D3" w:rsidRPr="00CA6E56" w:rsidRDefault="004436D3" w:rsidP="0049067D">
            <w:pPr>
              <w:pStyle w:val="ListParagraph"/>
              <w:spacing w:before="120" w:after="120"/>
              <w:ind w:left="360"/>
              <w:rPr>
                <w:rFonts w:cs="Arial"/>
                <w:b/>
                <w:bCs/>
                <w:sz w:val="20"/>
              </w:rPr>
            </w:pPr>
          </w:p>
          <w:p w14:paraId="324E6DD2" w14:textId="19F0D5D5" w:rsidR="004436D3" w:rsidRPr="00CA6E56" w:rsidRDefault="004436D3" w:rsidP="0049067D">
            <w:pPr>
              <w:pStyle w:val="ListParagraph"/>
              <w:spacing w:before="120" w:after="120"/>
              <w:ind w:left="360"/>
              <w:rPr>
                <w:b/>
                <w:bCs/>
                <w:sz w:val="20"/>
              </w:rPr>
            </w:pPr>
            <w:r w:rsidRPr="00CA6E56">
              <w:rPr>
                <w:rFonts w:cs="Arial"/>
                <w:b/>
                <w:bCs/>
                <w:sz w:val="20"/>
              </w:rPr>
              <w:t xml:space="preserve">We do not expect the Proposer’s system to accommodate printing, stuffing, metering, and mailing functionality. That is outside the scope of this RFP. </w:t>
            </w:r>
          </w:p>
          <w:p w14:paraId="1BD0575D" w14:textId="77777777" w:rsidR="004436D3" w:rsidRPr="00CA6E56" w:rsidRDefault="004436D3" w:rsidP="001B57B4">
            <w:pPr>
              <w:pStyle w:val="ListParagraph"/>
              <w:spacing w:before="120" w:after="120"/>
              <w:ind w:left="360"/>
              <w:rPr>
                <w:b/>
                <w:bCs/>
                <w:sz w:val="20"/>
              </w:rPr>
            </w:pPr>
          </w:p>
          <w:p w14:paraId="1877E76B" w14:textId="58C721E3" w:rsidR="004436D3" w:rsidRPr="00CA6E56" w:rsidRDefault="004436D3" w:rsidP="00B33D9A">
            <w:pPr>
              <w:pStyle w:val="ListParagraph"/>
              <w:numPr>
                <w:ilvl w:val="0"/>
                <w:numId w:val="33"/>
              </w:numPr>
              <w:spacing w:before="120" w:after="120"/>
              <w:rPr>
                <w:b/>
                <w:bCs/>
                <w:color w:val="000000"/>
                <w:sz w:val="20"/>
              </w:rPr>
            </w:pPr>
            <w:r w:rsidRPr="00CA6E56">
              <w:rPr>
                <w:b/>
                <w:bCs/>
                <w:color w:val="000000"/>
                <w:sz w:val="20"/>
              </w:rPr>
              <w:t>ETF only offers one annual open enrollment period each year for health insurance and supplemental benefits, typically for four (4) weeks during the month of October, for coverage effective January 1</w:t>
            </w:r>
            <w:r w:rsidRPr="00CA6E56">
              <w:rPr>
                <w:b/>
                <w:bCs/>
                <w:color w:val="000000"/>
                <w:sz w:val="20"/>
                <w:vertAlign w:val="superscript"/>
              </w:rPr>
              <w:t>st</w:t>
            </w:r>
            <w:r w:rsidRPr="00CA6E56">
              <w:rPr>
                <w:b/>
                <w:bCs/>
                <w:color w:val="000000"/>
                <w:sz w:val="20"/>
              </w:rPr>
              <w:t xml:space="preserve"> of the following year. </w:t>
            </w:r>
          </w:p>
          <w:p w14:paraId="5C45A299" w14:textId="6A6BF740" w:rsidR="004436D3" w:rsidRPr="00CA6E56" w:rsidRDefault="004436D3" w:rsidP="00DE40FD">
            <w:pPr>
              <w:spacing w:before="120" w:after="120"/>
              <w:ind w:left="360"/>
              <w:rPr>
                <w:b/>
                <w:bCs/>
                <w:color w:val="000000"/>
                <w:sz w:val="20"/>
              </w:rPr>
            </w:pPr>
            <w:r w:rsidRPr="00CA6E56">
              <w:rPr>
                <w:b/>
                <w:bCs/>
                <w:color w:val="000000"/>
                <w:sz w:val="20"/>
              </w:rPr>
              <w:t xml:space="preserve">Life insurance does not offer an open enrollment period. </w:t>
            </w:r>
          </w:p>
          <w:p w14:paraId="20DC643F" w14:textId="77777777" w:rsidR="004436D3" w:rsidRPr="00CA6E56" w:rsidRDefault="004436D3" w:rsidP="00D07332">
            <w:pPr>
              <w:pStyle w:val="ListParagraph"/>
              <w:spacing w:before="120" w:after="120"/>
              <w:ind w:left="360"/>
              <w:rPr>
                <w:b/>
                <w:bCs/>
                <w:color w:val="000000"/>
                <w:sz w:val="20"/>
              </w:rPr>
            </w:pPr>
            <w:r w:rsidRPr="00CA6E56">
              <w:rPr>
                <w:b/>
                <w:bCs/>
                <w:color w:val="000000"/>
                <w:sz w:val="20"/>
              </w:rPr>
              <w:t xml:space="preserve">ICI offers two types of limited open enrollment opportunities for select groups of eligible employees: </w:t>
            </w:r>
          </w:p>
          <w:p w14:paraId="585668E4" w14:textId="6E7DF6C1" w:rsidR="004436D3" w:rsidRPr="00CA6E56" w:rsidRDefault="004436D3" w:rsidP="001C029A">
            <w:pPr>
              <w:pStyle w:val="ListParagraph"/>
              <w:numPr>
                <w:ilvl w:val="0"/>
                <w:numId w:val="42"/>
              </w:numPr>
              <w:spacing w:before="120" w:after="120"/>
              <w:ind w:left="700"/>
              <w:rPr>
                <w:b/>
                <w:bCs/>
                <w:color w:val="000000"/>
                <w:sz w:val="20"/>
              </w:rPr>
            </w:pPr>
            <w:r w:rsidRPr="00CA6E56">
              <w:rPr>
                <w:b/>
                <w:bCs/>
                <w:color w:val="000000"/>
                <w:sz w:val="20"/>
              </w:rPr>
              <w:lastRenderedPageBreak/>
              <w:t>“Deferred coverage” enrollment for employees without ICI coverage who meet a narrowly defined set of eligibility criteria</w:t>
            </w:r>
          </w:p>
          <w:p w14:paraId="30D6E8C4" w14:textId="6893903D" w:rsidR="004436D3" w:rsidRPr="00CA6E56" w:rsidRDefault="004436D3" w:rsidP="001C029A">
            <w:pPr>
              <w:pStyle w:val="ListParagraph"/>
              <w:numPr>
                <w:ilvl w:val="0"/>
                <w:numId w:val="42"/>
              </w:numPr>
              <w:spacing w:before="120" w:after="120"/>
              <w:ind w:left="700"/>
              <w:rPr>
                <w:b/>
                <w:bCs/>
                <w:color w:val="000000"/>
                <w:sz w:val="20"/>
              </w:rPr>
            </w:pPr>
            <w:r w:rsidRPr="00CA6E56">
              <w:rPr>
                <w:b/>
                <w:bCs/>
                <w:color w:val="000000"/>
                <w:sz w:val="20"/>
              </w:rPr>
              <w:t>“Supplemental coverage” enrollment for employees with ICI coverage who make more than the established maximum earnings threshold for basic ICI coverage</w:t>
            </w:r>
          </w:p>
          <w:p w14:paraId="001163A8" w14:textId="3628E24C" w:rsidR="004436D3" w:rsidRPr="00CA6E56" w:rsidRDefault="004436D3" w:rsidP="00D07332">
            <w:pPr>
              <w:pStyle w:val="ListParagraph"/>
              <w:spacing w:before="120" w:after="120"/>
              <w:ind w:left="360"/>
              <w:rPr>
                <w:b/>
                <w:bCs/>
                <w:color w:val="000000"/>
                <w:sz w:val="20"/>
                <w:highlight w:val="yellow"/>
              </w:rPr>
            </w:pPr>
          </w:p>
          <w:p w14:paraId="60501111" w14:textId="63EAB12B" w:rsidR="004436D3" w:rsidRPr="00CA6E56" w:rsidRDefault="004436D3" w:rsidP="00D07332">
            <w:pPr>
              <w:pStyle w:val="ListParagraph"/>
              <w:spacing w:before="120" w:after="120"/>
              <w:ind w:left="360"/>
              <w:rPr>
                <w:b/>
                <w:bCs/>
                <w:color w:val="000000"/>
                <w:sz w:val="20"/>
              </w:rPr>
            </w:pPr>
            <w:r w:rsidRPr="00CA6E56">
              <w:rPr>
                <w:b/>
                <w:bCs/>
                <w:color w:val="000000"/>
                <w:sz w:val="20"/>
              </w:rPr>
              <w:t xml:space="preserve">Both ICI open enrollment periods run during the months of January and February, for coverage effective April 1st of that year. </w:t>
            </w:r>
          </w:p>
          <w:p w14:paraId="3AEF7DDC" w14:textId="77777777" w:rsidR="004436D3" w:rsidRPr="00CA6E56" w:rsidRDefault="004436D3" w:rsidP="004F75A9">
            <w:pPr>
              <w:pStyle w:val="ListParagraph"/>
              <w:spacing w:before="120" w:after="120"/>
              <w:ind w:left="360"/>
              <w:rPr>
                <w:b/>
                <w:bCs/>
                <w:sz w:val="20"/>
              </w:rPr>
            </w:pPr>
          </w:p>
          <w:p w14:paraId="59DA40C5" w14:textId="28004517" w:rsidR="004436D3" w:rsidRPr="00CA6E56" w:rsidRDefault="004436D3" w:rsidP="00644286">
            <w:pPr>
              <w:pStyle w:val="ListParagraph"/>
              <w:numPr>
                <w:ilvl w:val="0"/>
                <w:numId w:val="33"/>
              </w:numPr>
              <w:spacing w:before="120" w:after="120"/>
              <w:rPr>
                <w:b/>
                <w:bCs/>
                <w:sz w:val="20"/>
              </w:rPr>
            </w:pPr>
            <w:r w:rsidRPr="00CA6E56">
              <w:rPr>
                <w:b/>
                <w:bCs/>
                <w:color w:val="000000"/>
                <w:sz w:val="20"/>
              </w:rPr>
              <w:t>ETF does not have any statistics on this information.</w:t>
            </w:r>
          </w:p>
        </w:tc>
      </w:tr>
      <w:bookmarkEnd w:id="17"/>
      <w:tr w:rsidR="004436D3" w:rsidRPr="002B1587" w14:paraId="336F4075" w14:textId="77777777" w:rsidTr="00AC3150">
        <w:tc>
          <w:tcPr>
            <w:tcW w:w="720" w:type="dxa"/>
            <w:shd w:val="clear" w:color="auto" w:fill="DBE5F1" w:themeFill="accent1" w:themeFillTint="33"/>
          </w:tcPr>
          <w:p w14:paraId="35533B1F" w14:textId="77777777" w:rsidR="004436D3" w:rsidRPr="002B1587" w:rsidRDefault="004436D3" w:rsidP="00F61E1E">
            <w:pPr>
              <w:spacing w:before="120" w:after="120"/>
              <w:jc w:val="both"/>
              <w:rPr>
                <w:rFonts w:cs="Arial"/>
                <w:b/>
                <w:bCs/>
                <w:sz w:val="20"/>
              </w:rPr>
            </w:pPr>
            <w:r w:rsidRPr="002B1587">
              <w:rPr>
                <w:rFonts w:eastAsia="Calibri" w:cs="Arial"/>
                <w:b/>
                <w:bCs/>
                <w:sz w:val="20"/>
              </w:rPr>
              <w:lastRenderedPageBreak/>
              <w:t>Q25</w:t>
            </w:r>
          </w:p>
        </w:tc>
        <w:tc>
          <w:tcPr>
            <w:tcW w:w="1710" w:type="dxa"/>
            <w:shd w:val="clear" w:color="auto" w:fill="DBE5F1" w:themeFill="accent1" w:themeFillTint="33"/>
          </w:tcPr>
          <w:p w14:paraId="550FE183" w14:textId="77777777" w:rsidR="004436D3" w:rsidRPr="002B1587" w:rsidRDefault="004436D3" w:rsidP="00F61E1E">
            <w:pPr>
              <w:spacing w:before="120" w:after="120"/>
              <w:jc w:val="both"/>
              <w:rPr>
                <w:rFonts w:cs="Arial"/>
                <w:b/>
                <w:bCs/>
                <w:sz w:val="20"/>
              </w:rPr>
            </w:pPr>
          </w:p>
        </w:tc>
        <w:tc>
          <w:tcPr>
            <w:tcW w:w="1710" w:type="dxa"/>
            <w:shd w:val="clear" w:color="auto" w:fill="DBE5F1" w:themeFill="accent1" w:themeFillTint="33"/>
          </w:tcPr>
          <w:p w14:paraId="5D4B42D8" w14:textId="77777777" w:rsidR="004436D3" w:rsidRPr="002B1587" w:rsidRDefault="004436D3" w:rsidP="00F61E1E">
            <w:pPr>
              <w:spacing w:before="120" w:after="120"/>
              <w:jc w:val="both"/>
              <w:rPr>
                <w:rFonts w:cs="Arial"/>
                <w:b/>
                <w:bCs/>
                <w:sz w:val="20"/>
              </w:rPr>
            </w:pPr>
          </w:p>
        </w:tc>
        <w:tc>
          <w:tcPr>
            <w:tcW w:w="3420" w:type="dxa"/>
            <w:shd w:val="clear" w:color="auto" w:fill="DBE5F1" w:themeFill="accent1" w:themeFillTint="33"/>
          </w:tcPr>
          <w:p w14:paraId="2B5033A8" w14:textId="77777777" w:rsidR="004436D3" w:rsidRPr="002B1587" w:rsidRDefault="004436D3" w:rsidP="00F61E1E">
            <w:pPr>
              <w:spacing w:before="120" w:after="120"/>
              <w:rPr>
                <w:rFonts w:eastAsia="Calibri" w:cs="Arial"/>
                <w:b/>
                <w:bCs/>
                <w:sz w:val="20"/>
              </w:rPr>
            </w:pPr>
            <w:r w:rsidRPr="002B1587">
              <w:rPr>
                <w:rFonts w:eastAsia="Arial" w:cs="Arial"/>
                <w:b/>
                <w:bCs/>
                <w:sz w:val="20"/>
              </w:rPr>
              <w:t>Can the State provide a list of all anticipated integrations (inbound &amp; outbound) from the IAS? Please include the following detail:</w:t>
            </w:r>
          </w:p>
          <w:p w14:paraId="2B3ACA22" w14:textId="77777777" w:rsidR="004436D3" w:rsidRPr="002B1587" w:rsidRDefault="004436D3" w:rsidP="005B6FF8">
            <w:pPr>
              <w:pStyle w:val="ListParagraph"/>
              <w:numPr>
                <w:ilvl w:val="0"/>
                <w:numId w:val="7"/>
              </w:numPr>
              <w:spacing w:before="120" w:after="120"/>
              <w:rPr>
                <w:rFonts w:eastAsia="Calibri" w:cs="Arial"/>
                <w:b/>
                <w:bCs/>
                <w:sz w:val="20"/>
              </w:rPr>
            </w:pPr>
            <w:r w:rsidRPr="002B1587">
              <w:rPr>
                <w:rFonts w:eastAsia="Arial" w:cs="Arial"/>
                <w:b/>
                <w:bCs/>
                <w:sz w:val="20"/>
              </w:rPr>
              <w:t xml:space="preserve">How many carrier/vendor EDI files (inbound and outbound) will there be? Please state the integration direction, benefit types per file, vendor. </w:t>
            </w:r>
          </w:p>
          <w:p w14:paraId="261CAC69" w14:textId="77777777" w:rsidR="004436D3" w:rsidRPr="002B1587" w:rsidRDefault="004436D3" w:rsidP="005B6FF8">
            <w:pPr>
              <w:pStyle w:val="ListParagraph"/>
              <w:numPr>
                <w:ilvl w:val="0"/>
                <w:numId w:val="7"/>
              </w:numPr>
              <w:spacing w:before="120" w:after="120"/>
              <w:rPr>
                <w:rFonts w:eastAsia="Calibri" w:cs="Arial"/>
                <w:b/>
                <w:bCs/>
                <w:sz w:val="20"/>
              </w:rPr>
            </w:pPr>
            <w:r w:rsidRPr="002B1587">
              <w:rPr>
                <w:rFonts w:eastAsia="Calibri" w:cs="Arial"/>
                <w:b/>
                <w:bCs/>
                <w:sz w:val="20"/>
              </w:rPr>
              <w:t>What will be the system of record for indicative demographic data? How many inbound files for demographic data will be in scope?</w:t>
            </w:r>
          </w:p>
          <w:p w14:paraId="3C8692CB" w14:textId="350F0878" w:rsidR="004436D3" w:rsidRPr="002B1587" w:rsidRDefault="004436D3" w:rsidP="005B6FF8">
            <w:pPr>
              <w:pStyle w:val="ListParagraph"/>
              <w:numPr>
                <w:ilvl w:val="0"/>
                <w:numId w:val="7"/>
              </w:numPr>
              <w:spacing w:before="120" w:after="120"/>
              <w:rPr>
                <w:rFonts w:eastAsia="Calibri" w:cs="Arial"/>
                <w:b/>
                <w:bCs/>
                <w:sz w:val="20"/>
              </w:rPr>
            </w:pPr>
            <w:r w:rsidRPr="002B1587">
              <w:rPr>
                <w:rFonts w:eastAsia="Calibri" w:cs="Arial"/>
                <w:b/>
                <w:bCs/>
                <w:sz w:val="20"/>
              </w:rPr>
              <w:t xml:space="preserve">How many outbound payroll deduction files will be required? To what </w:t>
            </w:r>
            <w:r w:rsidRPr="002B1587">
              <w:rPr>
                <w:rFonts w:eastAsia="Calibri" w:cs="Arial"/>
                <w:b/>
                <w:bCs/>
                <w:sz w:val="20"/>
              </w:rPr>
              <w:lastRenderedPageBreak/>
              <w:t>system(s) will the payroll deduction data be sent?</w:t>
            </w:r>
          </w:p>
        </w:tc>
        <w:tc>
          <w:tcPr>
            <w:tcW w:w="5490" w:type="dxa"/>
            <w:shd w:val="clear" w:color="auto" w:fill="DBE5F1" w:themeFill="accent1" w:themeFillTint="33"/>
          </w:tcPr>
          <w:p w14:paraId="6F0FCFDF" w14:textId="77777777" w:rsidR="004436D3" w:rsidRDefault="004436D3" w:rsidP="00F61E1E">
            <w:pPr>
              <w:spacing w:before="120" w:after="120"/>
              <w:rPr>
                <w:rFonts w:cs="Arial"/>
                <w:b/>
                <w:bCs/>
                <w:sz w:val="20"/>
              </w:rPr>
            </w:pPr>
            <w:r w:rsidRPr="00841709">
              <w:rPr>
                <w:rFonts w:cs="Arial"/>
                <w:b/>
                <w:bCs/>
                <w:sz w:val="20"/>
              </w:rPr>
              <w:lastRenderedPageBreak/>
              <w:t xml:space="preserve">The number and type of future integrations will </w:t>
            </w:r>
            <w:r>
              <w:rPr>
                <w:rFonts w:cs="Arial"/>
                <w:b/>
                <w:bCs/>
                <w:sz w:val="20"/>
              </w:rPr>
              <w:t xml:space="preserve">depend </w:t>
            </w:r>
            <w:r w:rsidRPr="00841709">
              <w:rPr>
                <w:rFonts w:cs="Arial"/>
                <w:b/>
                <w:bCs/>
                <w:sz w:val="20"/>
              </w:rPr>
              <w:t xml:space="preserve">on </w:t>
            </w:r>
            <w:r>
              <w:rPr>
                <w:rFonts w:cs="Arial"/>
                <w:b/>
                <w:bCs/>
                <w:sz w:val="20"/>
              </w:rPr>
              <w:t>multiple</w:t>
            </w:r>
            <w:r w:rsidRPr="00841709">
              <w:rPr>
                <w:rFonts w:cs="Arial"/>
                <w:b/>
                <w:bCs/>
                <w:sz w:val="20"/>
              </w:rPr>
              <w:t xml:space="preserve"> factors including the vendor system capabilities as well as how members</w:t>
            </w:r>
            <w:r>
              <w:rPr>
                <w:rFonts w:cs="Arial"/>
                <w:b/>
                <w:bCs/>
                <w:sz w:val="20"/>
              </w:rPr>
              <w:t xml:space="preserve"> and employers</w:t>
            </w:r>
            <w:r w:rsidRPr="00841709">
              <w:rPr>
                <w:rFonts w:cs="Arial"/>
                <w:b/>
                <w:bCs/>
                <w:sz w:val="20"/>
              </w:rPr>
              <w:t xml:space="preserve"> will utilize the system.  Typically</w:t>
            </w:r>
            <w:r>
              <w:rPr>
                <w:rFonts w:cs="Arial"/>
                <w:b/>
                <w:bCs/>
                <w:sz w:val="20"/>
              </w:rPr>
              <w:t>,</w:t>
            </w:r>
            <w:r w:rsidRPr="00841709">
              <w:rPr>
                <w:rFonts w:cs="Arial"/>
                <w:b/>
                <w:bCs/>
                <w:sz w:val="20"/>
              </w:rPr>
              <w:t xml:space="preserve"> ETF is supporting approximately 12-14 </w:t>
            </w:r>
            <w:r>
              <w:rPr>
                <w:rFonts w:cs="Arial"/>
                <w:b/>
                <w:bCs/>
                <w:sz w:val="20"/>
              </w:rPr>
              <w:t xml:space="preserve">health insurance </w:t>
            </w:r>
            <w:r w:rsidRPr="00841709">
              <w:rPr>
                <w:rFonts w:cs="Arial"/>
                <w:b/>
                <w:bCs/>
                <w:sz w:val="20"/>
              </w:rPr>
              <w:t>carriers at any one time</w:t>
            </w:r>
            <w:r>
              <w:rPr>
                <w:rFonts w:cs="Arial"/>
                <w:b/>
                <w:bCs/>
                <w:sz w:val="20"/>
              </w:rPr>
              <w:t>, plus additional carriers for life, ICI, supplemental benefits, etc</w:t>
            </w:r>
            <w:r w:rsidRPr="00841709">
              <w:rPr>
                <w:rFonts w:cs="Arial"/>
                <w:b/>
                <w:bCs/>
                <w:sz w:val="20"/>
              </w:rPr>
              <w:t xml:space="preserve">. </w:t>
            </w:r>
          </w:p>
          <w:p w14:paraId="2491302D" w14:textId="675CD2CC" w:rsidR="004436D3" w:rsidRDefault="004436D3" w:rsidP="00F61E1E">
            <w:pPr>
              <w:spacing w:before="120" w:after="120"/>
              <w:rPr>
                <w:rFonts w:cs="Arial"/>
                <w:b/>
                <w:bCs/>
                <w:sz w:val="20"/>
              </w:rPr>
            </w:pPr>
            <w:r w:rsidRPr="00841709">
              <w:rPr>
                <w:rFonts w:cs="Arial"/>
                <w:b/>
                <w:bCs/>
                <w:sz w:val="20"/>
              </w:rPr>
              <w:t>Indicative demographic data will be maintained in ETF's Master Data Management (MDM) solution and distributed to systems that need it.</w:t>
            </w:r>
          </w:p>
          <w:p w14:paraId="37665598" w14:textId="36C9D917" w:rsidR="004436D3" w:rsidRDefault="004436D3" w:rsidP="00630232">
            <w:pPr>
              <w:spacing w:after="160"/>
              <w:rPr>
                <w:b/>
                <w:bCs/>
                <w:color w:val="000000"/>
                <w:sz w:val="20"/>
              </w:rPr>
            </w:pPr>
            <w:r w:rsidRPr="00630232">
              <w:rPr>
                <w:b/>
                <w:bCs/>
                <w:color w:val="000000"/>
                <w:sz w:val="20"/>
              </w:rPr>
              <w:t xml:space="preserve">Today, the three (3) largest state agency employers use file transfer processes to electronically submit enrollment and related data from their internal enrollment systems to ETF. We send response files back to them with data </w:t>
            </w:r>
            <w:r>
              <w:rPr>
                <w:b/>
                <w:bCs/>
                <w:color w:val="000000"/>
                <w:sz w:val="20"/>
              </w:rPr>
              <w:t>c</w:t>
            </w:r>
            <w:r w:rsidRPr="00630232">
              <w:rPr>
                <w:b/>
                <w:bCs/>
                <w:color w:val="000000"/>
                <w:sz w:val="20"/>
              </w:rPr>
              <w:t xml:space="preserve">orrections for their records. No payroll deduction files are currently exchanged. All other employers manually enter enrollment information into our systems. </w:t>
            </w:r>
          </w:p>
          <w:p w14:paraId="11BA4ED7" w14:textId="31899A31" w:rsidR="004436D3" w:rsidRPr="0043514E" w:rsidRDefault="004436D3" w:rsidP="0043514E">
            <w:pPr>
              <w:spacing w:after="160"/>
              <w:rPr>
                <w:b/>
                <w:bCs/>
                <w:color w:val="000000"/>
                <w:sz w:val="20"/>
              </w:rPr>
            </w:pPr>
            <w:r w:rsidRPr="00630232">
              <w:rPr>
                <w:b/>
                <w:bCs/>
                <w:color w:val="000000"/>
                <w:sz w:val="20"/>
              </w:rPr>
              <w:t xml:space="preserve">Going forward, we envision that all enrollment will occur within the IAS, either entered directly by the affected member or, for certain populations, entered by </w:t>
            </w:r>
            <w:r w:rsidRPr="00630232">
              <w:rPr>
                <w:b/>
                <w:bCs/>
                <w:color w:val="000000"/>
                <w:sz w:val="20"/>
              </w:rPr>
              <w:lastRenderedPageBreak/>
              <w:t xml:space="preserve">an employer and/or ETF staff based on paper enrollment forms. Enrollment and payroll deduction data will need to interface back to employers. </w:t>
            </w:r>
            <w:r>
              <w:rPr>
                <w:b/>
                <w:bCs/>
                <w:color w:val="000000"/>
                <w:sz w:val="20"/>
              </w:rPr>
              <w:t>Vendors must have the c</w:t>
            </w:r>
            <w:r w:rsidRPr="00630232">
              <w:rPr>
                <w:b/>
                <w:bCs/>
                <w:color w:val="000000"/>
                <w:sz w:val="20"/>
              </w:rPr>
              <w:t>apabilit</w:t>
            </w:r>
            <w:r>
              <w:rPr>
                <w:b/>
                <w:bCs/>
                <w:color w:val="000000"/>
                <w:sz w:val="20"/>
              </w:rPr>
              <w:t>y</w:t>
            </w:r>
            <w:r w:rsidRPr="00630232">
              <w:rPr>
                <w:b/>
                <w:bCs/>
                <w:color w:val="000000"/>
                <w:sz w:val="20"/>
              </w:rPr>
              <w:t xml:space="preserve"> to interface this data back to employers via</w:t>
            </w:r>
            <w:r>
              <w:rPr>
                <w:b/>
                <w:bCs/>
                <w:color w:val="000000"/>
                <w:sz w:val="20"/>
              </w:rPr>
              <w:t xml:space="preserve"> both </w:t>
            </w:r>
            <w:r w:rsidRPr="00630232">
              <w:rPr>
                <w:b/>
                <w:bCs/>
                <w:color w:val="000000"/>
                <w:sz w:val="20"/>
              </w:rPr>
              <w:t xml:space="preserve">outbound integration files and electronic reports, as employer needs and system capabilities will vary. </w:t>
            </w:r>
          </w:p>
        </w:tc>
      </w:tr>
      <w:tr w:rsidR="004436D3" w:rsidRPr="002B1587" w14:paraId="7EFAAE0D" w14:textId="77777777" w:rsidTr="00AC3150">
        <w:tc>
          <w:tcPr>
            <w:tcW w:w="720" w:type="dxa"/>
            <w:shd w:val="clear" w:color="auto" w:fill="EEECE1" w:themeFill="background2"/>
          </w:tcPr>
          <w:p w14:paraId="4E08A4BD" w14:textId="77777777" w:rsidR="004436D3" w:rsidRPr="002B1587" w:rsidRDefault="004436D3" w:rsidP="00630232">
            <w:pPr>
              <w:spacing w:before="120" w:after="120"/>
              <w:jc w:val="both"/>
              <w:rPr>
                <w:rFonts w:cs="Arial"/>
                <w:b/>
                <w:bCs/>
                <w:sz w:val="20"/>
              </w:rPr>
            </w:pPr>
            <w:r w:rsidRPr="002B1587">
              <w:rPr>
                <w:rFonts w:eastAsia="Calibri" w:cs="Arial"/>
                <w:b/>
                <w:bCs/>
                <w:sz w:val="20"/>
              </w:rPr>
              <w:lastRenderedPageBreak/>
              <w:t>Q26</w:t>
            </w:r>
          </w:p>
        </w:tc>
        <w:tc>
          <w:tcPr>
            <w:tcW w:w="1710" w:type="dxa"/>
            <w:shd w:val="clear" w:color="auto" w:fill="EEECE1" w:themeFill="background2"/>
          </w:tcPr>
          <w:p w14:paraId="3CA4D781" w14:textId="77777777" w:rsidR="004436D3" w:rsidRPr="002B1587" w:rsidRDefault="004436D3" w:rsidP="00630232">
            <w:pPr>
              <w:spacing w:before="120" w:after="120"/>
              <w:jc w:val="both"/>
              <w:rPr>
                <w:rFonts w:eastAsia="Calibri" w:cs="Arial"/>
                <w:b/>
                <w:bCs/>
                <w:sz w:val="20"/>
              </w:rPr>
            </w:pPr>
            <w:r w:rsidRPr="002B1587">
              <w:rPr>
                <w:rFonts w:eastAsia="Calibri" w:cs="Arial"/>
                <w:b/>
                <w:bCs/>
                <w:sz w:val="20"/>
              </w:rPr>
              <w:t>Appendix 7, #156.e.v</w:t>
            </w:r>
          </w:p>
          <w:p w14:paraId="1AEC3879" w14:textId="77777777" w:rsidR="004436D3" w:rsidRPr="002B1587" w:rsidRDefault="004436D3" w:rsidP="00630232">
            <w:pPr>
              <w:spacing w:before="120" w:after="120"/>
              <w:jc w:val="both"/>
              <w:rPr>
                <w:rFonts w:eastAsia="Calibri" w:cs="Arial"/>
                <w:b/>
                <w:bCs/>
                <w:sz w:val="20"/>
              </w:rPr>
            </w:pPr>
            <w:r w:rsidRPr="002B1587">
              <w:rPr>
                <w:rFonts w:eastAsia="Calibri" w:cs="Arial"/>
                <w:b/>
                <w:bCs/>
                <w:sz w:val="20"/>
              </w:rPr>
              <w:t>Appendix #149.c</w:t>
            </w:r>
          </w:p>
        </w:tc>
        <w:tc>
          <w:tcPr>
            <w:tcW w:w="1710" w:type="dxa"/>
            <w:shd w:val="clear" w:color="auto" w:fill="EEECE1" w:themeFill="background2"/>
          </w:tcPr>
          <w:p w14:paraId="733F2DCE" w14:textId="77777777" w:rsidR="004436D3" w:rsidRPr="002B1587" w:rsidRDefault="004436D3" w:rsidP="00630232">
            <w:pPr>
              <w:spacing w:before="120" w:after="120"/>
              <w:jc w:val="both"/>
              <w:rPr>
                <w:rFonts w:eastAsia="Calibri" w:cs="Arial"/>
                <w:b/>
                <w:bCs/>
                <w:sz w:val="20"/>
              </w:rPr>
            </w:pPr>
            <w:r w:rsidRPr="002B1587">
              <w:rPr>
                <w:rFonts w:eastAsia="Calibri" w:cs="Arial"/>
                <w:b/>
                <w:bCs/>
                <w:sz w:val="20"/>
              </w:rPr>
              <w:t>15 of 28</w:t>
            </w:r>
          </w:p>
          <w:p w14:paraId="59CD2C59" w14:textId="77777777" w:rsidR="004436D3" w:rsidRPr="002B1587" w:rsidRDefault="004436D3" w:rsidP="00630232">
            <w:pPr>
              <w:spacing w:before="120" w:after="120"/>
              <w:jc w:val="both"/>
              <w:rPr>
                <w:rFonts w:eastAsia="Calibri" w:cs="Arial"/>
                <w:b/>
                <w:bCs/>
                <w:sz w:val="20"/>
              </w:rPr>
            </w:pPr>
            <w:r w:rsidRPr="002B1587">
              <w:rPr>
                <w:rFonts w:eastAsia="Calibri" w:cs="Arial"/>
                <w:b/>
                <w:bCs/>
                <w:sz w:val="20"/>
              </w:rPr>
              <w:t>14 of 28</w:t>
            </w:r>
          </w:p>
        </w:tc>
        <w:tc>
          <w:tcPr>
            <w:tcW w:w="3420" w:type="dxa"/>
            <w:shd w:val="clear" w:color="auto" w:fill="EEECE1" w:themeFill="background2"/>
          </w:tcPr>
          <w:p w14:paraId="2F2B3D8E" w14:textId="77777777" w:rsidR="004436D3" w:rsidRPr="002B1587" w:rsidRDefault="004436D3" w:rsidP="00630232">
            <w:pPr>
              <w:spacing w:before="120" w:after="120"/>
              <w:rPr>
                <w:rFonts w:eastAsia="Calibri" w:cs="Arial"/>
                <w:b/>
                <w:bCs/>
                <w:sz w:val="20"/>
              </w:rPr>
            </w:pPr>
            <w:r w:rsidRPr="002B1587">
              <w:rPr>
                <w:rFonts w:eastAsia="Arial" w:cs="Arial"/>
                <w:b/>
                <w:bCs/>
                <w:sz w:val="20"/>
              </w:rPr>
              <w:t>Can the State please provide any department or policy requirements related to FEDRAMP or NIST certifications?</w:t>
            </w:r>
          </w:p>
        </w:tc>
        <w:tc>
          <w:tcPr>
            <w:tcW w:w="5490" w:type="dxa"/>
            <w:shd w:val="clear" w:color="auto" w:fill="EEECE1" w:themeFill="background2"/>
          </w:tcPr>
          <w:p w14:paraId="28E547A8" w14:textId="4FB9FC10" w:rsidR="004436D3" w:rsidRPr="002B1587" w:rsidRDefault="004436D3" w:rsidP="00630232">
            <w:pPr>
              <w:spacing w:before="120" w:after="120"/>
              <w:rPr>
                <w:rFonts w:cs="Arial"/>
                <w:b/>
                <w:bCs/>
                <w:sz w:val="20"/>
              </w:rPr>
            </w:pPr>
            <w:r w:rsidRPr="0043514E">
              <w:rPr>
                <w:rFonts w:cs="Arial"/>
                <w:b/>
                <w:bCs/>
                <w:sz w:val="20"/>
              </w:rPr>
              <w:t>ETF is looking for a vendor with strong security policies following one or more industry-standard security guidelines such as NIST, FedRAMP, ISO or others.</w:t>
            </w:r>
          </w:p>
        </w:tc>
      </w:tr>
      <w:tr w:rsidR="004436D3" w:rsidRPr="002B1587" w14:paraId="4C3F3D65" w14:textId="77777777" w:rsidTr="00AC3150">
        <w:tc>
          <w:tcPr>
            <w:tcW w:w="720" w:type="dxa"/>
            <w:shd w:val="clear" w:color="auto" w:fill="DBE5F1" w:themeFill="accent1" w:themeFillTint="33"/>
          </w:tcPr>
          <w:p w14:paraId="71F42780" w14:textId="77777777" w:rsidR="004436D3" w:rsidRPr="002B1587" w:rsidRDefault="004436D3" w:rsidP="00630232">
            <w:pPr>
              <w:spacing w:before="120" w:after="120"/>
              <w:jc w:val="both"/>
              <w:rPr>
                <w:rFonts w:cs="Arial"/>
                <w:b/>
                <w:bCs/>
                <w:sz w:val="20"/>
              </w:rPr>
            </w:pPr>
            <w:r w:rsidRPr="002B1587">
              <w:rPr>
                <w:rFonts w:eastAsia="Calibri" w:cs="Arial"/>
                <w:b/>
                <w:bCs/>
                <w:sz w:val="20"/>
              </w:rPr>
              <w:t>Q27</w:t>
            </w:r>
          </w:p>
        </w:tc>
        <w:tc>
          <w:tcPr>
            <w:tcW w:w="1710" w:type="dxa"/>
            <w:shd w:val="clear" w:color="auto" w:fill="DBE5F1" w:themeFill="accent1" w:themeFillTint="33"/>
          </w:tcPr>
          <w:p w14:paraId="3E9C403A" w14:textId="77777777" w:rsidR="004436D3" w:rsidRPr="002B1587" w:rsidRDefault="004436D3" w:rsidP="00630232">
            <w:pPr>
              <w:spacing w:before="120" w:after="120"/>
              <w:jc w:val="both"/>
              <w:rPr>
                <w:rFonts w:eastAsia="Calibri" w:cs="Arial"/>
                <w:b/>
                <w:bCs/>
                <w:sz w:val="20"/>
              </w:rPr>
            </w:pPr>
            <w:r w:rsidRPr="002B1587">
              <w:rPr>
                <w:rFonts w:eastAsia="Calibri" w:cs="Arial"/>
                <w:b/>
                <w:bCs/>
                <w:sz w:val="20"/>
              </w:rPr>
              <w:t>Appendix 7, #184</w:t>
            </w:r>
          </w:p>
        </w:tc>
        <w:tc>
          <w:tcPr>
            <w:tcW w:w="1710" w:type="dxa"/>
            <w:shd w:val="clear" w:color="auto" w:fill="DBE5F1" w:themeFill="accent1" w:themeFillTint="33"/>
          </w:tcPr>
          <w:p w14:paraId="0B58CC1D" w14:textId="77777777" w:rsidR="004436D3" w:rsidRPr="002B1587" w:rsidRDefault="004436D3" w:rsidP="00630232">
            <w:pPr>
              <w:spacing w:before="120" w:after="120"/>
              <w:jc w:val="both"/>
              <w:rPr>
                <w:rFonts w:eastAsia="Calibri" w:cs="Arial"/>
                <w:b/>
                <w:bCs/>
                <w:sz w:val="20"/>
              </w:rPr>
            </w:pPr>
            <w:r w:rsidRPr="002B1587">
              <w:rPr>
                <w:rFonts w:eastAsia="Calibri" w:cs="Arial"/>
                <w:b/>
                <w:bCs/>
                <w:sz w:val="20"/>
              </w:rPr>
              <w:t>17 of 28</w:t>
            </w:r>
          </w:p>
        </w:tc>
        <w:tc>
          <w:tcPr>
            <w:tcW w:w="3420" w:type="dxa"/>
            <w:shd w:val="clear" w:color="auto" w:fill="DBE5F1" w:themeFill="accent1" w:themeFillTint="33"/>
          </w:tcPr>
          <w:p w14:paraId="689B1C3F" w14:textId="77777777" w:rsidR="004436D3" w:rsidRPr="002B1587" w:rsidRDefault="004436D3" w:rsidP="00630232">
            <w:pPr>
              <w:spacing w:before="120" w:after="120"/>
              <w:rPr>
                <w:rFonts w:eastAsia="Arial" w:cs="Arial"/>
                <w:b/>
                <w:bCs/>
                <w:sz w:val="20"/>
              </w:rPr>
            </w:pPr>
            <w:r w:rsidRPr="002B1587">
              <w:rPr>
                <w:rFonts w:eastAsia="Arial" w:cs="Arial"/>
                <w:b/>
                <w:bCs/>
                <w:sz w:val="20"/>
              </w:rPr>
              <w:t>Do you expect data conversion to be a part of the implementation of a new IAS? If so, how many years of data is required?</w:t>
            </w:r>
          </w:p>
        </w:tc>
        <w:tc>
          <w:tcPr>
            <w:tcW w:w="5490" w:type="dxa"/>
            <w:shd w:val="clear" w:color="auto" w:fill="DBE5F1" w:themeFill="accent1" w:themeFillTint="33"/>
          </w:tcPr>
          <w:p w14:paraId="69D78311" w14:textId="77777777" w:rsidR="004436D3" w:rsidRDefault="004436D3" w:rsidP="00630232">
            <w:pPr>
              <w:spacing w:before="120" w:after="120"/>
              <w:rPr>
                <w:rFonts w:cs="Arial"/>
                <w:b/>
                <w:bCs/>
                <w:sz w:val="20"/>
              </w:rPr>
            </w:pPr>
            <w:bookmarkStart w:id="19" w:name="_Hlk36813416"/>
            <w:r w:rsidRPr="00150C06">
              <w:rPr>
                <w:rFonts w:cs="Arial"/>
                <w:b/>
                <w:bCs/>
                <w:sz w:val="20"/>
              </w:rPr>
              <w:t>Yes</w:t>
            </w:r>
            <w:r>
              <w:rPr>
                <w:rFonts w:cs="Arial"/>
                <w:b/>
                <w:bCs/>
                <w:sz w:val="20"/>
              </w:rPr>
              <w:t>, data conversion</w:t>
            </w:r>
            <w:r w:rsidR="00A165A0">
              <w:rPr>
                <w:rFonts w:cs="Arial"/>
                <w:b/>
                <w:bCs/>
                <w:sz w:val="20"/>
              </w:rPr>
              <w:t xml:space="preserve">, or an acceptable alternative, </w:t>
            </w:r>
            <w:r>
              <w:rPr>
                <w:rFonts w:cs="Arial"/>
                <w:b/>
                <w:bCs/>
                <w:sz w:val="20"/>
              </w:rPr>
              <w:t>will be an important part of a new IAS implementation</w:t>
            </w:r>
            <w:r w:rsidRPr="00150C06">
              <w:rPr>
                <w:rFonts w:cs="Arial"/>
                <w:b/>
                <w:bCs/>
                <w:sz w:val="20"/>
              </w:rPr>
              <w:t xml:space="preserve">.  Detailed requirements, business </w:t>
            </w:r>
            <w:r>
              <w:rPr>
                <w:rFonts w:cs="Arial"/>
                <w:b/>
                <w:bCs/>
                <w:sz w:val="20"/>
              </w:rPr>
              <w:t xml:space="preserve">and system cutover </w:t>
            </w:r>
            <w:r w:rsidRPr="00150C06">
              <w:rPr>
                <w:rFonts w:cs="Arial"/>
                <w:b/>
                <w:bCs/>
                <w:sz w:val="20"/>
              </w:rPr>
              <w:t xml:space="preserve">considerations, and system functionality will impact the type </w:t>
            </w:r>
            <w:r>
              <w:rPr>
                <w:rFonts w:cs="Arial"/>
                <w:b/>
                <w:bCs/>
                <w:sz w:val="20"/>
              </w:rPr>
              <w:t xml:space="preserve">and number of years </w:t>
            </w:r>
            <w:r w:rsidRPr="00150C06">
              <w:rPr>
                <w:rFonts w:cs="Arial"/>
                <w:b/>
                <w:bCs/>
                <w:sz w:val="20"/>
              </w:rPr>
              <w:t>of data that may be converted.  Current systems</w:t>
            </w:r>
            <w:r>
              <w:rPr>
                <w:rFonts w:cs="Arial"/>
                <w:b/>
                <w:bCs/>
                <w:sz w:val="20"/>
              </w:rPr>
              <w:t xml:space="preserve"> from which data </w:t>
            </w:r>
            <w:r w:rsidRPr="00150C06">
              <w:rPr>
                <w:rFonts w:cs="Arial"/>
                <w:b/>
                <w:bCs/>
                <w:sz w:val="20"/>
              </w:rPr>
              <w:t xml:space="preserve">may need to </w:t>
            </w:r>
            <w:r>
              <w:rPr>
                <w:rFonts w:cs="Arial"/>
                <w:b/>
                <w:bCs/>
                <w:sz w:val="20"/>
              </w:rPr>
              <w:t>be</w:t>
            </w:r>
            <w:r w:rsidRPr="00150C06">
              <w:rPr>
                <w:rFonts w:cs="Arial"/>
                <w:b/>
                <w:bCs/>
                <w:sz w:val="20"/>
              </w:rPr>
              <w:t xml:space="preserve"> converted hold </w:t>
            </w:r>
            <w:r>
              <w:rPr>
                <w:rFonts w:cs="Arial"/>
                <w:b/>
                <w:bCs/>
                <w:sz w:val="20"/>
              </w:rPr>
              <w:t>multiple</w:t>
            </w:r>
            <w:r w:rsidRPr="00150C06">
              <w:rPr>
                <w:rFonts w:cs="Arial"/>
                <w:b/>
                <w:bCs/>
                <w:sz w:val="20"/>
              </w:rPr>
              <w:t xml:space="preserve"> years of data.</w:t>
            </w:r>
          </w:p>
          <w:p w14:paraId="21978111" w14:textId="396BD3FD" w:rsidR="00A165A0" w:rsidRPr="002B1587" w:rsidRDefault="00A165A0" w:rsidP="00630232">
            <w:pPr>
              <w:spacing w:before="120" w:after="120"/>
              <w:rPr>
                <w:rFonts w:cs="Arial"/>
                <w:b/>
                <w:bCs/>
                <w:sz w:val="20"/>
              </w:rPr>
            </w:pPr>
            <w:r>
              <w:rPr>
                <w:rFonts w:cs="Arial"/>
                <w:b/>
                <w:bCs/>
                <w:sz w:val="20"/>
              </w:rPr>
              <w:t xml:space="preserve">Alternatives to data conversion, such as re-enrollment, are also potential options for consideration. </w:t>
            </w:r>
            <w:bookmarkEnd w:id="19"/>
          </w:p>
        </w:tc>
      </w:tr>
      <w:tr w:rsidR="004436D3" w:rsidRPr="00063D50" w14:paraId="7673880D" w14:textId="77777777" w:rsidTr="00AC3150">
        <w:tc>
          <w:tcPr>
            <w:tcW w:w="720" w:type="dxa"/>
            <w:shd w:val="clear" w:color="auto" w:fill="EEECE1" w:themeFill="background2"/>
          </w:tcPr>
          <w:p w14:paraId="31232BD3" w14:textId="77777777" w:rsidR="004436D3" w:rsidRPr="00063D50" w:rsidRDefault="004436D3" w:rsidP="00630232">
            <w:pPr>
              <w:spacing w:before="120" w:after="120"/>
              <w:jc w:val="both"/>
              <w:rPr>
                <w:rFonts w:cs="Arial"/>
                <w:b/>
                <w:bCs/>
                <w:sz w:val="20"/>
              </w:rPr>
            </w:pPr>
            <w:r w:rsidRPr="00063D50">
              <w:rPr>
                <w:rFonts w:eastAsia="Calibri" w:cs="Arial"/>
                <w:b/>
                <w:bCs/>
                <w:sz w:val="20"/>
              </w:rPr>
              <w:t>Q28</w:t>
            </w:r>
          </w:p>
        </w:tc>
        <w:tc>
          <w:tcPr>
            <w:tcW w:w="1710" w:type="dxa"/>
            <w:shd w:val="clear" w:color="auto" w:fill="EEECE1" w:themeFill="background2"/>
          </w:tcPr>
          <w:p w14:paraId="2D551937" w14:textId="77777777" w:rsidR="004436D3" w:rsidRPr="00063D50" w:rsidRDefault="004436D3" w:rsidP="00630232">
            <w:pPr>
              <w:spacing w:before="120" w:after="120"/>
              <w:jc w:val="both"/>
              <w:rPr>
                <w:rFonts w:eastAsia="Calibri" w:cs="Arial"/>
                <w:b/>
                <w:bCs/>
                <w:sz w:val="20"/>
              </w:rPr>
            </w:pPr>
            <w:r w:rsidRPr="00063D50">
              <w:rPr>
                <w:rFonts w:eastAsia="Calibri" w:cs="Arial"/>
                <w:b/>
                <w:bCs/>
                <w:sz w:val="20"/>
              </w:rPr>
              <w:t>Appendix 7, #24</w:t>
            </w:r>
          </w:p>
        </w:tc>
        <w:tc>
          <w:tcPr>
            <w:tcW w:w="1710" w:type="dxa"/>
            <w:shd w:val="clear" w:color="auto" w:fill="EEECE1" w:themeFill="background2"/>
          </w:tcPr>
          <w:p w14:paraId="34B52B79" w14:textId="77777777" w:rsidR="004436D3" w:rsidRPr="00063D50" w:rsidRDefault="004436D3" w:rsidP="00630232">
            <w:pPr>
              <w:spacing w:before="120" w:after="120"/>
              <w:jc w:val="both"/>
              <w:rPr>
                <w:rFonts w:eastAsia="Calibri" w:cs="Arial"/>
                <w:b/>
                <w:bCs/>
                <w:sz w:val="20"/>
              </w:rPr>
            </w:pPr>
            <w:r w:rsidRPr="00063D50">
              <w:rPr>
                <w:rFonts w:eastAsia="Calibri" w:cs="Arial"/>
                <w:b/>
                <w:bCs/>
                <w:sz w:val="20"/>
              </w:rPr>
              <w:t>3 of 28</w:t>
            </w:r>
          </w:p>
        </w:tc>
        <w:tc>
          <w:tcPr>
            <w:tcW w:w="3420" w:type="dxa"/>
            <w:shd w:val="clear" w:color="auto" w:fill="EEECE1" w:themeFill="background2"/>
          </w:tcPr>
          <w:p w14:paraId="2551884A" w14:textId="77777777" w:rsidR="004436D3" w:rsidRPr="00063D50" w:rsidRDefault="004436D3" w:rsidP="00630232">
            <w:pPr>
              <w:spacing w:before="120" w:after="120"/>
              <w:rPr>
                <w:rFonts w:eastAsia="Calibri" w:cs="Arial"/>
                <w:b/>
                <w:bCs/>
                <w:sz w:val="20"/>
              </w:rPr>
            </w:pPr>
            <w:r w:rsidRPr="00063D50">
              <w:rPr>
                <w:rFonts w:eastAsia="Calibri" w:cs="Arial"/>
                <w:b/>
                <w:bCs/>
                <w:sz w:val="20"/>
              </w:rPr>
              <w:t>Can the State provide additional detail into “bar coding” requirements?</w:t>
            </w:r>
          </w:p>
        </w:tc>
        <w:tc>
          <w:tcPr>
            <w:tcW w:w="5490" w:type="dxa"/>
            <w:shd w:val="clear" w:color="auto" w:fill="EEECE1" w:themeFill="background2"/>
          </w:tcPr>
          <w:p w14:paraId="43E655BA" w14:textId="6876DE37" w:rsidR="004436D3" w:rsidRPr="00063D50" w:rsidRDefault="004436D3" w:rsidP="00411B6B">
            <w:pPr>
              <w:spacing w:before="120" w:after="120"/>
              <w:rPr>
                <w:rFonts w:cs="Arial"/>
                <w:b/>
                <w:bCs/>
                <w:sz w:val="20"/>
              </w:rPr>
            </w:pPr>
            <w:r>
              <w:rPr>
                <w:rFonts w:cs="Arial"/>
                <w:b/>
                <w:bCs/>
                <w:sz w:val="20"/>
              </w:rPr>
              <w:t>See response to question Q5 above.</w:t>
            </w:r>
          </w:p>
        </w:tc>
      </w:tr>
      <w:tr w:rsidR="004436D3" w:rsidRPr="00551C68" w14:paraId="4AE73DE6" w14:textId="77777777" w:rsidTr="00AC3150">
        <w:tc>
          <w:tcPr>
            <w:tcW w:w="720" w:type="dxa"/>
            <w:shd w:val="clear" w:color="auto" w:fill="DBE5F1" w:themeFill="accent1" w:themeFillTint="33"/>
          </w:tcPr>
          <w:p w14:paraId="49373F80" w14:textId="77777777" w:rsidR="004436D3" w:rsidRPr="00551C68" w:rsidRDefault="004436D3" w:rsidP="00630232">
            <w:pPr>
              <w:spacing w:before="120" w:after="120"/>
              <w:jc w:val="both"/>
              <w:rPr>
                <w:rFonts w:cs="Arial"/>
                <w:b/>
                <w:bCs/>
                <w:sz w:val="20"/>
              </w:rPr>
            </w:pPr>
            <w:r w:rsidRPr="00551C68">
              <w:rPr>
                <w:rFonts w:eastAsia="Calibri" w:cs="Arial"/>
                <w:b/>
                <w:bCs/>
                <w:sz w:val="20"/>
              </w:rPr>
              <w:t>Q29</w:t>
            </w:r>
          </w:p>
        </w:tc>
        <w:tc>
          <w:tcPr>
            <w:tcW w:w="1710" w:type="dxa"/>
            <w:shd w:val="clear" w:color="auto" w:fill="DBE5F1" w:themeFill="accent1" w:themeFillTint="33"/>
          </w:tcPr>
          <w:p w14:paraId="678BF72D" w14:textId="77777777" w:rsidR="004436D3" w:rsidRPr="00551C68" w:rsidRDefault="004436D3" w:rsidP="00630232">
            <w:pPr>
              <w:spacing w:before="120" w:after="120"/>
              <w:jc w:val="both"/>
              <w:rPr>
                <w:rFonts w:eastAsia="Calibri" w:cs="Arial"/>
                <w:b/>
                <w:bCs/>
                <w:sz w:val="20"/>
              </w:rPr>
            </w:pPr>
            <w:r w:rsidRPr="00551C68">
              <w:rPr>
                <w:rFonts w:eastAsia="Calibri" w:cs="Arial"/>
                <w:b/>
                <w:bCs/>
                <w:sz w:val="20"/>
              </w:rPr>
              <w:t>Appendix 7, #24</w:t>
            </w:r>
          </w:p>
        </w:tc>
        <w:tc>
          <w:tcPr>
            <w:tcW w:w="1710" w:type="dxa"/>
            <w:shd w:val="clear" w:color="auto" w:fill="DBE5F1" w:themeFill="accent1" w:themeFillTint="33"/>
          </w:tcPr>
          <w:p w14:paraId="7F9665D7" w14:textId="77777777" w:rsidR="004436D3" w:rsidRPr="00551C68" w:rsidRDefault="004436D3" w:rsidP="00630232">
            <w:pPr>
              <w:spacing w:before="120" w:after="120"/>
              <w:jc w:val="both"/>
              <w:rPr>
                <w:rFonts w:cs="Arial"/>
                <w:b/>
                <w:bCs/>
                <w:sz w:val="20"/>
              </w:rPr>
            </w:pPr>
            <w:r w:rsidRPr="00551C68">
              <w:rPr>
                <w:rFonts w:cs="Arial"/>
                <w:b/>
                <w:bCs/>
                <w:sz w:val="20"/>
              </w:rPr>
              <w:t>3 of 28</w:t>
            </w:r>
          </w:p>
        </w:tc>
        <w:tc>
          <w:tcPr>
            <w:tcW w:w="3420" w:type="dxa"/>
            <w:shd w:val="clear" w:color="auto" w:fill="DBE5F1" w:themeFill="accent1" w:themeFillTint="33"/>
          </w:tcPr>
          <w:p w14:paraId="47CDE9E8" w14:textId="77777777" w:rsidR="004436D3" w:rsidRPr="00551C68" w:rsidRDefault="004436D3" w:rsidP="00630232">
            <w:pPr>
              <w:spacing w:before="120" w:after="120"/>
              <w:rPr>
                <w:rFonts w:cs="Arial"/>
                <w:b/>
                <w:bCs/>
                <w:sz w:val="20"/>
              </w:rPr>
            </w:pPr>
            <w:r w:rsidRPr="00551C68">
              <w:rPr>
                <w:rFonts w:cs="Arial"/>
                <w:b/>
                <w:bCs/>
                <w:sz w:val="20"/>
              </w:rPr>
              <w:t>Are there requirements for the vendor to support and receive paper enrollment forms?</w:t>
            </w:r>
          </w:p>
        </w:tc>
        <w:tc>
          <w:tcPr>
            <w:tcW w:w="5490" w:type="dxa"/>
            <w:shd w:val="clear" w:color="auto" w:fill="DBE5F1" w:themeFill="accent1" w:themeFillTint="33"/>
          </w:tcPr>
          <w:p w14:paraId="41934C69" w14:textId="66E0ECB6" w:rsidR="004436D3" w:rsidRPr="00551C68" w:rsidRDefault="004436D3" w:rsidP="00630232">
            <w:pPr>
              <w:spacing w:before="120" w:after="120"/>
              <w:rPr>
                <w:rFonts w:cs="Arial"/>
                <w:b/>
                <w:bCs/>
                <w:sz w:val="20"/>
              </w:rPr>
            </w:pPr>
            <w:r w:rsidRPr="00551C68">
              <w:rPr>
                <w:rFonts w:cs="Arial"/>
                <w:b/>
                <w:bCs/>
                <w:sz w:val="20"/>
              </w:rPr>
              <w:t>No, the vendor is not expected to support and receive paper enrollment forms. Any paper enrollment forms received will be processed and entered in</w:t>
            </w:r>
            <w:r>
              <w:rPr>
                <w:rFonts w:cs="Arial"/>
                <w:b/>
                <w:bCs/>
                <w:sz w:val="20"/>
              </w:rPr>
              <w:t xml:space="preserve"> </w:t>
            </w:r>
            <w:r w:rsidRPr="00551C68">
              <w:rPr>
                <w:rFonts w:cs="Arial"/>
                <w:b/>
                <w:bCs/>
                <w:sz w:val="20"/>
              </w:rPr>
              <w:t>the IAS by employer and/or ETF</w:t>
            </w:r>
            <w:r>
              <w:rPr>
                <w:rFonts w:cs="Arial"/>
                <w:b/>
                <w:bCs/>
                <w:sz w:val="20"/>
              </w:rPr>
              <w:t xml:space="preserve"> staff</w:t>
            </w:r>
            <w:r w:rsidRPr="00551C68">
              <w:rPr>
                <w:rFonts w:cs="Arial"/>
                <w:b/>
                <w:bCs/>
                <w:sz w:val="20"/>
              </w:rPr>
              <w:t xml:space="preserve">. </w:t>
            </w:r>
          </w:p>
        </w:tc>
      </w:tr>
      <w:tr w:rsidR="004436D3" w:rsidRPr="002B1587" w14:paraId="0ED8C229" w14:textId="77777777" w:rsidTr="00AC3150">
        <w:tc>
          <w:tcPr>
            <w:tcW w:w="720" w:type="dxa"/>
            <w:shd w:val="clear" w:color="auto" w:fill="EEECE1" w:themeFill="background2"/>
          </w:tcPr>
          <w:p w14:paraId="243E6DA8" w14:textId="77777777" w:rsidR="004436D3" w:rsidRPr="002B1587" w:rsidRDefault="004436D3" w:rsidP="00630232">
            <w:pPr>
              <w:spacing w:before="120" w:after="120"/>
              <w:jc w:val="both"/>
              <w:rPr>
                <w:rFonts w:cs="Arial"/>
                <w:b/>
                <w:bCs/>
                <w:sz w:val="20"/>
              </w:rPr>
            </w:pPr>
            <w:r w:rsidRPr="002B1587">
              <w:rPr>
                <w:rFonts w:eastAsia="Calibri" w:cs="Arial"/>
                <w:b/>
                <w:bCs/>
                <w:sz w:val="20"/>
              </w:rPr>
              <w:t>Q30</w:t>
            </w:r>
          </w:p>
        </w:tc>
        <w:tc>
          <w:tcPr>
            <w:tcW w:w="1710" w:type="dxa"/>
            <w:shd w:val="clear" w:color="auto" w:fill="EEECE1" w:themeFill="background2"/>
          </w:tcPr>
          <w:p w14:paraId="0A019C5A" w14:textId="77777777" w:rsidR="004436D3" w:rsidRPr="002B1587" w:rsidRDefault="004436D3" w:rsidP="00630232">
            <w:pPr>
              <w:spacing w:before="120" w:after="120"/>
              <w:jc w:val="both"/>
              <w:rPr>
                <w:rFonts w:eastAsia="Calibri" w:cs="Arial"/>
                <w:b/>
                <w:bCs/>
                <w:sz w:val="20"/>
              </w:rPr>
            </w:pPr>
            <w:r w:rsidRPr="002B1587">
              <w:rPr>
                <w:rFonts w:eastAsia="Calibri" w:cs="Arial"/>
                <w:b/>
                <w:bCs/>
                <w:sz w:val="20"/>
              </w:rPr>
              <w:t>Appendix 7, #11</w:t>
            </w:r>
          </w:p>
        </w:tc>
        <w:tc>
          <w:tcPr>
            <w:tcW w:w="1710" w:type="dxa"/>
            <w:shd w:val="clear" w:color="auto" w:fill="EEECE1" w:themeFill="background2"/>
          </w:tcPr>
          <w:p w14:paraId="7AD7E5C2" w14:textId="77777777" w:rsidR="004436D3" w:rsidRPr="002B1587" w:rsidRDefault="004436D3" w:rsidP="00630232">
            <w:pPr>
              <w:spacing w:before="120" w:after="120"/>
              <w:jc w:val="both"/>
              <w:rPr>
                <w:rFonts w:eastAsia="Calibri" w:cs="Arial"/>
                <w:b/>
                <w:bCs/>
                <w:sz w:val="20"/>
              </w:rPr>
            </w:pPr>
            <w:r w:rsidRPr="002B1587">
              <w:rPr>
                <w:rFonts w:eastAsia="Calibri" w:cs="Arial"/>
                <w:b/>
                <w:bCs/>
                <w:sz w:val="20"/>
              </w:rPr>
              <w:t>2 of 28</w:t>
            </w:r>
          </w:p>
        </w:tc>
        <w:tc>
          <w:tcPr>
            <w:tcW w:w="3420" w:type="dxa"/>
            <w:shd w:val="clear" w:color="auto" w:fill="EEECE1" w:themeFill="background2"/>
          </w:tcPr>
          <w:p w14:paraId="4796451A" w14:textId="77777777" w:rsidR="004436D3" w:rsidRPr="002B1587" w:rsidRDefault="004436D3" w:rsidP="00630232">
            <w:pPr>
              <w:spacing w:before="120" w:after="120"/>
              <w:rPr>
                <w:rFonts w:eastAsia="Calibri" w:cs="Arial"/>
                <w:b/>
                <w:bCs/>
                <w:sz w:val="20"/>
              </w:rPr>
            </w:pPr>
            <w:r w:rsidRPr="002B1587">
              <w:rPr>
                <w:rFonts w:eastAsia="Calibri" w:cs="Arial"/>
                <w:b/>
                <w:bCs/>
                <w:sz w:val="20"/>
              </w:rPr>
              <w:t>Is adherence to Web Content Accessibility Guidelines (comparable to Section 508) acceptable to the State?</w:t>
            </w:r>
          </w:p>
        </w:tc>
        <w:tc>
          <w:tcPr>
            <w:tcW w:w="5490" w:type="dxa"/>
            <w:shd w:val="clear" w:color="auto" w:fill="EEECE1" w:themeFill="background2"/>
          </w:tcPr>
          <w:p w14:paraId="6AE5D993" w14:textId="7F7C81DA" w:rsidR="004436D3" w:rsidRPr="002B1587" w:rsidRDefault="004436D3" w:rsidP="00630232">
            <w:pPr>
              <w:spacing w:before="120" w:after="120"/>
              <w:rPr>
                <w:rFonts w:cs="Arial"/>
                <w:b/>
                <w:bCs/>
                <w:sz w:val="20"/>
              </w:rPr>
            </w:pPr>
            <w:r w:rsidRPr="00AF7164">
              <w:rPr>
                <w:rFonts w:cs="Arial"/>
                <w:b/>
                <w:bCs/>
                <w:sz w:val="20"/>
              </w:rPr>
              <w:t>ETF is required to be compliant with Section 508, which incorporates by reference WCAG 2.0 guidelines.  </w:t>
            </w:r>
          </w:p>
        </w:tc>
      </w:tr>
      <w:tr w:rsidR="004436D3" w:rsidRPr="00551C68" w14:paraId="4BF512AC" w14:textId="77777777" w:rsidTr="00AC3150">
        <w:tc>
          <w:tcPr>
            <w:tcW w:w="720" w:type="dxa"/>
            <w:shd w:val="clear" w:color="auto" w:fill="DBE5F1" w:themeFill="accent1" w:themeFillTint="33"/>
          </w:tcPr>
          <w:p w14:paraId="2C9D45C9" w14:textId="77777777" w:rsidR="004436D3" w:rsidRPr="00551C68" w:rsidRDefault="004436D3" w:rsidP="00630232">
            <w:pPr>
              <w:spacing w:before="120" w:after="120"/>
              <w:jc w:val="both"/>
              <w:rPr>
                <w:rFonts w:cs="Arial"/>
                <w:b/>
                <w:bCs/>
                <w:sz w:val="20"/>
              </w:rPr>
            </w:pPr>
            <w:r w:rsidRPr="00551C68">
              <w:rPr>
                <w:rFonts w:eastAsia="Calibri" w:cs="Arial"/>
                <w:b/>
                <w:bCs/>
                <w:sz w:val="20"/>
              </w:rPr>
              <w:lastRenderedPageBreak/>
              <w:t>Q31</w:t>
            </w:r>
          </w:p>
        </w:tc>
        <w:tc>
          <w:tcPr>
            <w:tcW w:w="1710" w:type="dxa"/>
            <w:shd w:val="clear" w:color="auto" w:fill="DBE5F1" w:themeFill="accent1" w:themeFillTint="33"/>
          </w:tcPr>
          <w:p w14:paraId="288AEDE9" w14:textId="77777777" w:rsidR="004436D3" w:rsidRPr="00551C68" w:rsidRDefault="004436D3" w:rsidP="00630232">
            <w:pPr>
              <w:spacing w:before="120" w:after="120"/>
              <w:jc w:val="both"/>
              <w:rPr>
                <w:rFonts w:eastAsia="Calibri" w:cs="Arial"/>
                <w:b/>
                <w:bCs/>
                <w:sz w:val="20"/>
              </w:rPr>
            </w:pPr>
            <w:r w:rsidRPr="00551C68">
              <w:rPr>
                <w:rFonts w:eastAsia="Calibri" w:cs="Arial"/>
                <w:b/>
                <w:bCs/>
                <w:sz w:val="20"/>
              </w:rPr>
              <w:t>Appendix 7, #41</w:t>
            </w:r>
          </w:p>
        </w:tc>
        <w:tc>
          <w:tcPr>
            <w:tcW w:w="1710" w:type="dxa"/>
            <w:shd w:val="clear" w:color="auto" w:fill="DBE5F1" w:themeFill="accent1" w:themeFillTint="33"/>
          </w:tcPr>
          <w:p w14:paraId="74D5DED4" w14:textId="77777777" w:rsidR="004436D3" w:rsidRPr="00551C68" w:rsidRDefault="004436D3" w:rsidP="00630232">
            <w:pPr>
              <w:spacing w:before="120" w:after="120"/>
              <w:jc w:val="both"/>
              <w:rPr>
                <w:rFonts w:eastAsia="Calibri" w:cs="Arial"/>
                <w:b/>
                <w:bCs/>
                <w:sz w:val="20"/>
              </w:rPr>
            </w:pPr>
            <w:r w:rsidRPr="00551C68">
              <w:rPr>
                <w:rFonts w:eastAsia="Calibri" w:cs="Arial"/>
                <w:b/>
                <w:bCs/>
                <w:sz w:val="20"/>
              </w:rPr>
              <w:t>4 of 28</w:t>
            </w:r>
          </w:p>
        </w:tc>
        <w:tc>
          <w:tcPr>
            <w:tcW w:w="3420" w:type="dxa"/>
            <w:shd w:val="clear" w:color="auto" w:fill="DBE5F1" w:themeFill="accent1" w:themeFillTint="33"/>
          </w:tcPr>
          <w:p w14:paraId="4BD26D64" w14:textId="77777777" w:rsidR="004436D3" w:rsidRPr="00551C68" w:rsidRDefault="004436D3" w:rsidP="00630232">
            <w:pPr>
              <w:spacing w:before="120" w:after="120"/>
              <w:rPr>
                <w:rFonts w:eastAsia="Arial" w:cs="Arial"/>
                <w:b/>
                <w:bCs/>
                <w:sz w:val="20"/>
              </w:rPr>
            </w:pPr>
            <w:r w:rsidRPr="00551C68">
              <w:rPr>
                <w:rFonts w:eastAsia="Arial" w:cs="Arial"/>
                <w:b/>
                <w:bCs/>
                <w:sz w:val="20"/>
              </w:rPr>
              <w:t>Are HSA banking administration services in scope? Or is the State only interested in how the system can support business rules &amp; enrollment in HSA plans administered by the State’s current vendor?</w:t>
            </w:r>
          </w:p>
        </w:tc>
        <w:tc>
          <w:tcPr>
            <w:tcW w:w="5490" w:type="dxa"/>
            <w:shd w:val="clear" w:color="auto" w:fill="DBE5F1" w:themeFill="accent1" w:themeFillTint="33"/>
          </w:tcPr>
          <w:p w14:paraId="62BB7143" w14:textId="6A43D0B4" w:rsidR="004436D3" w:rsidRPr="00551C68" w:rsidRDefault="004436D3" w:rsidP="00630232">
            <w:pPr>
              <w:spacing w:before="120" w:after="120"/>
              <w:rPr>
                <w:rFonts w:cs="Arial"/>
                <w:b/>
                <w:bCs/>
                <w:sz w:val="20"/>
              </w:rPr>
            </w:pPr>
            <w:r w:rsidRPr="00551C68">
              <w:rPr>
                <w:rFonts w:cs="Arial"/>
                <w:b/>
                <w:bCs/>
                <w:sz w:val="20"/>
              </w:rPr>
              <w:t>No, HSA banking administration services are not within the scope of this RFP. ETF is interested in vendor functionality related to supporting business rules and enrollment in HSA plans administered by the State’s chosen vendor(s).</w:t>
            </w:r>
          </w:p>
        </w:tc>
      </w:tr>
      <w:tr w:rsidR="004436D3" w:rsidRPr="00CE48C4" w14:paraId="78D57AC7" w14:textId="77777777" w:rsidTr="00AC3150">
        <w:tc>
          <w:tcPr>
            <w:tcW w:w="720" w:type="dxa"/>
            <w:shd w:val="clear" w:color="auto" w:fill="EEECE1" w:themeFill="background2"/>
          </w:tcPr>
          <w:p w14:paraId="13DA2994" w14:textId="77777777" w:rsidR="004436D3" w:rsidRPr="00CE48C4" w:rsidRDefault="004436D3" w:rsidP="00630232">
            <w:pPr>
              <w:spacing w:before="120" w:after="120"/>
              <w:jc w:val="both"/>
              <w:rPr>
                <w:rFonts w:cs="Arial"/>
                <w:b/>
                <w:bCs/>
                <w:sz w:val="20"/>
              </w:rPr>
            </w:pPr>
            <w:bookmarkStart w:id="20" w:name="OLE_LINK1"/>
            <w:bookmarkStart w:id="21" w:name="OLE_LINK2"/>
            <w:r w:rsidRPr="00CE48C4">
              <w:rPr>
                <w:rFonts w:eastAsia="Calibri" w:cs="Arial"/>
                <w:b/>
                <w:bCs/>
                <w:sz w:val="20"/>
              </w:rPr>
              <w:t>Q32</w:t>
            </w:r>
          </w:p>
        </w:tc>
        <w:tc>
          <w:tcPr>
            <w:tcW w:w="1710" w:type="dxa"/>
            <w:shd w:val="clear" w:color="auto" w:fill="EEECE1" w:themeFill="background2"/>
          </w:tcPr>
          <w:p w14:paraId="3379C51E" w14:textId="77777777" w:rsidR="004436D3" w:rsidRPr="00CE48C4" w:rsidRDefault="004436D3" w:rsidP="00630232">
            <w:pPr>
              <w:spacing w:before="120" w:after="120"/>
              <w:jc w:val="both"/>
              <w:rPr>
                <w:rFonts w:eastAsia="Calibri" w:cs="Arial"/>
                <w:b/>
                <w:bCs/>
                <w:sz w:val="20"/>
              </w:rPr>
            </w:pPr>
            <w:r w:rsidRPr="00CE48C4">
              <w:rPr>
                <w:rFonts w:eastAsia="Calibri" w:cs="Arial"/>
                <w:b/>
                <w:bCs/>
                <w:sz w:val="20"/>
              </w:rPr>
              <w:t>Appendix 7, #47</w:t>
            </w:r>
          </w:p>
        </w:tc>
        <w:tc>
          <w:tcPr>
            <w:tcW w:w="1710" w:type="dxa"/>
            <w:shd w:val="clear" w:color="auto" w:fill="EEECE1" w:themeFill="background2"/>
          </w:tcPr>
          <w:p w14:paraId="618BEC22" w14:textId="77777777" w:rsidR="004436D3" w:rsidRPr="00CE48C4" w:rsidRDefault="004436D3" w:rsidP="00630232">
            <w:pPr>
              <w:spacing w:before="120" w:after="120"/>
              <w:jc w:val="both"/>
              <w:rPr>
                <w:rFonts w:eastAsia="Calibri" w:cs="Arial"/>
                <w:b/>
                <w:bCs/>
                <w:sz w:val="20"/>
              </w:rPr>
            </w:pPr>
            <w:r w:rsidRPr="00CE48C4">
              <w:rPr>
                <w:rFonts w:eastAsia="Calibri" w:cs="Arial"/>
                <w:b/>
                <w:bCs/>
                <w:sz w:val="20"/>
              </w:rPr>
              <w:t>5 of 28</w:t>
            </w:r>
          </w:p>
        </w:tc>
        <w:tc>
          <w:tcPr>
            <w:tcW w:w="3420" w:type="dxa"/>
            <w:shd w:val="clear" w:color="auto" w:fill="EEECE1" w:themeFill="background2"/>
          </w:tcPr>
          <w:p w14:paraId="4FEEC531" w14:textId="77777777" w:rsidR="004436D3" w:rsidRPr="00CE48C4" w:rsidRDefault="004436D3" w:rsidP="00630232">
            <w:pPr>
              <w:spacing w:before="120" w:after="120"/>
              <w:rPr>
                <w:rFonts w:eastAsia="Calibri" w:cs="Arial"/>
                <w:b/>
                <w:bCs/>
                <w:sz w:val="20"/>
              </w:rPr>
            </w:pPr>
            <w:r w:rsidRPr="00CE48C4">
              <w:rPr>
                <w:rFonts w:eastAsia="Calibri" w:cs="Arial"/>
                <w:b/>
                <w:bCs/>
                <w:sz w:val="20"/>
              </w:rPr>
              <w:t xml:space="preserve">Can the State provide more detail around the ideal situation/expectation of the vendor’s ability to manage employer group participation in insurance programs? Does this mean you’re looking for the vendor be responsible in the coordination of each employer group opting in or out of all the programs offered? Would this process take place annually? How is this process managed today? </w:t>
            </w:r>
          </w:p>
        </w:tc>
        <w:tc>
          <w:tcPr>
            <w:tcW w:w="5490" w:type="dxa"/>
            <w:shd w:val="clear" w:color="auto" w:fill="EEECE1" w:themeFill="background2"/>
          </w:tcPr>
          <w:p w14:paraId="2D67BD7C" w14:textId="77777777" w:rsidR="004436D3" w:rsidRPr="00CE48C4" w:rsidRDefault="004436D3" w:rsidP="005E69F0">
            <w:pPr>
              <w:spacing w:before="120" w:after="120"/>
              <w:rPr>
                <w:b/>
                <w:bCs/>
                <w:color w:val="000000"/>
                <w:sz w:val="20"/>
              </w:rPr>
            </w:pPr>
            <w:r w:rsidRPr="00CE48C4">
              <w:rPr>
                <w:b/>
                <w:bCs/>
                <w:color w:val="000000"/>
                <w:sz w:val="20"/>
              </w:rPr>
              <w:t>Currently, ETF manages employer group participation in insurance programs through a series of manual processes. Today, ETF staff:</w:t>
            </w:r>
          </w:p>
          <w:p w14:paraId="61A6A115" w14:textId="77777777" w:rsidR="004436D3" w:rsidRPr="00CE48C4" w:rsidRDefault="004436D3" w:rsidP="00310E33">
            <w:pPr>
              <w:pStyle w:val="ListParagraph"/>
              <w:numPr>
                <w:ilvl w:val="0"/>
                <w:numId w:val="41"/>
              </w:numPr>
              <w:spacing w:before="120" w:after="120"/>
              <w:ind w:left="340"/>
              <w:rPr>
                <w:b/>
                <w:bCs/>
                <w:color w:val="000000"/>
                <w:sz w:val="20"/>
              </w:rPr>
            </w:pPr>
            <w:r w:rsidRPr="00CE48C4">
              <w:rPr>
                <w:b/>
                <w:bCs/>
                <w:color w:val="000000"/>
                <w:sz w:val="20"/>
              </w:rPr>
              <w:t>Educate local employers on eligibility requirements and how to join/drop</w:t>
            </w:r>
          </w:p>
          <w:p w14:paraId="7E57B407" w14:textId="77777777" w:rsidR="004436D3" w:rsidRPr="00CE48C4" w:rsidRDefault="004436D3" w:rsidP="00310E33">
            <w:pPr>
              <w:pStyle w:val="ListParagraph"/>
              <w:numPr>
                <w:ilvl w:val="0"/>
                <w:numId w:val="41"/>
              </w:numPr>
              <w:spacing w:before="120" w:after="120"/>
              <w:ind w:left="340"/>
              <w:rPr>
                <w:b/>
                <w:bCs/>
                <w:color w:val="000000"/>
                <w:sz w:val="20"/>
              </w:rPr>
            </w:pPr>
            <w:r w:rsidRPr="00CE48C4">
              <w:rPr>
                <w:b/>
                <w:bCs/>
                <w:color w:val="000000"/>
                <w:sz w:val="20"/>
              </w:rPr>
              <w:t>Evaluate employer resolutions to join/drop</w:t>
            </w:r>
          </w:p>
          <w:p w14:paraId="653154EB" w14:textId="77777777" w:rsidR="004436D3" w:rsidRPr="00CE48C4" w:rsidRDefault="004436D3" w:rsidP="00310E33">
            <w:pPr>
              <w:pStyle w:val="ListParagraph"/>
              <w:numPr>
                <w:ilvl w:val="0"/>
                <w:numId w:val="41"/>
              </w:numPr>
              <w:spacing w:before="120" w:after="120"/>
              <w:ind w:left="340"/>
              <w:rPr>
                <w:b/>
                <w:bCs/>
                <w:color w:val="000000"/>
                <w:sz w:val="20"/>
              </w:rPr>
            </w:pPr>
            <w:r w:rsidRPr="00CE48C4">
              <w:rPr>
                <w:b/>
                <w:bCs/>
                <w:color w:val="000000"/>
                <w:sz w:val="20"/>
              </w:rPr>
              <w:t>Coordinate with the consulting actuary on group underwriting</w:t>
            </w:r>
          </w:p>
          <w:p w14:paraId="74133BF8" w14:textId="77777777" w:rsidR="004436D3" w:rsidRPr="00CE48C4" w:rsidRDefault="004436D3" w:rsidP="00310E33">
            <w:pPr>
              <w:pStyle w:val="ListParagraph"/>
              <w:numPr>
                <w:ilvl w:val="0"/>
                <w:numId w:val="41"/>
              </w:numPr>
              <w:spacing w:before="120" w:after="120"/>
              <w:ind w:left="340"/>
              <w:rPr>
                <w:b/>
                <w:bCs/>
                <w:color w:val="000000"/>
                <w:sz w:val="20"/>
              </w:rPr>
            </w:pPr>
            <w:r w:rsidRPr="00CE48C4">
              <w:rPr>
                <w:b/>
                <w:bCs/>
                <w:color w:val="000000"/>
                <w:sz w:val="20"/>
              </w:rPr>
              <w:t>Issue rates and application information</w:t>
            </w:r>
          </w:p>
          <w:p w14:paraId="79F6CD88" w14:textId="77777777" w:rsidR="004436D3" w:rsidRPr="00CE48C4" w:rsidRDefault="004436D3" w:rsidP="00310E33">
            <w:pPr>
              <w:pStyle w:val="ListParagraph"/>
              <w:numPr>
                <w:ilvl w:val="0"/>
                <w:numId w:val="41"/>
              </w:numPr>
              <w:spacing w:before="120" w:after="120"/>
              <w:ind w:left="340"/>
              <w:rPr>
                <w:b/>
                <w:bCs/>
                <w:color w:val="000000"/>
                <w:sz w:val="20"/>
              </w:rPr>
            </w:pPr>
            <w:r w:rsidRPr="00CE48C4">
              <w:rPr>
                <w:b/>
                <w:bCs/>
                <w:color w:val="000000"/>
                <w:sz w:val="20"/>
              </w:rPr>
              <w:t>Process applications from eligible employees and retirees</w:t>
            </w:r>
          </w:p>
          <w:p w14:paraId="31ABFA42" w14:textId="468DA8E9" w:rsidR="004436D3" w:rsidRPr="00CE48C4" w:rsidRDefault="004436D3" w:rsidP="00310E33">
            <w:pPr>
              <w:pStyle w:val="ListParagraph"/>
              <w:numPr>
                <w:ilvl w:val="0"/>
                <w:numId w:val="41"/>
              </w:numPr>
              <w:spacing w:before="120" w:after="120"/>
              <w:ind w:left="340"/>
              <w:rPr>
                <w:b/>
                <w:bCs/>
                <w:color w:val="000000"/>
                <w:sz w:val="20"/>
              </w:rPr>
            </w:pPr>
            <w:r w:rsidRPr="00CE48C4">
              <w:rPr>
                <w:b/>
                <w:bCs/>
                <w:color w:val="000000"/>
                <w:sz w:val="20"/>
              </w:rPr>
              <w:t xml:space="preserve">Annually evaluate employee participation to ensure continued employer participation eligibility. </w:t>
            </w:r>
          </w:p>
          <w:p w14:paraId="5863C0FC" w14:textId="7B6C964F" w:rsidR="004436D3" w:rsidRPr="00CE48C4" w:rsidRDefault="004436D3" w:rsidP="00CE48C4">
            <w:pPr>
              <w:spacing w:before="120" w:after="120"/>
              <w:rPr>
                <w:b/>
                <w:bCs/>
                <w:color w:val="000000"/>
                <w:sz w:val="20"/>
              </w:rPr>
            </w:pPr>
            <w:r w:rsidRPr="00CE48C4">
              <w:rPr>
                <w:b/>
                <w:bCs/>
                <w:color w:val="000000"/>
                <w:sz w:val="20"/>
              </w:rPr>
              <w:t xml:space="preserve">See response to question Q42 below for details regarding timeframes and volume of changes to employer insurance benefit participation. </w:t>
            </w:r>
          </w:p>
          <w:p w14:paraId="160FD7C6" w14:textId="041A6223" w:rsidR="004436D3" w:rsidRPr="00CE48C4" w:rsidRDefault="004436D3" w:rsidP="00CE48C4">
            <w:pPr>
              <w:spacing w:after="160"/>
              <w:rPr>
                <w:b/>
                <w:bCs/>
                <w:color w:val="000000"/>
                <w:sz w:val="20"/>
              </w:rPr>
            </w:pPr>
            <w:r w:rsidRPr="00CE48C4">
              <w:rPr>
                <w:b/>
                <w:bCs/>
                <w:color w:val="000000"/>
                <w:sz w:val="20"/>
              </w:rPr>
              <w:t xml:space="preserve">We are interested in </w:t>
            </w:r>
            <w:r w:rsidRPr="00CE48C4">
              <w:rPr>
                <w:rFonts w:cs="Arial"/>
                <w:b/>
                <w:bCs/>
                <w:sz w:val="20"/>
              </w:rPr>
              <w:t>any capabilities the Proposer’s system offers to streamline, enhance, automate, and effectively manage these functions.</w:t>
            </w:r>
          </w:p>
        </w:tc>
      </w:tr>
      <w:tr w:rsidR="004436D3" w:rsidRPr="00F02CF3" w14:paraId="3FEDF376" w14:textId="77777777" w:rsidTr="00AC3150">
        <w:tc>
          <w:tcPr>
            <w:tcW w:w="720" w:type="dxa"/>
            <w:shd w:val="clear" w:color="auto" w:fill="DBE5F1" w:themeFill="accent1" w:themeFillTint="33"/>
          </w:tcPr>
          <w:p w14:paraId="30D418CF" w14:textId="77777777" w:rsidR="004436D3" w:rsidRPr="00F02CF3" w:rsidRDefault="004436D3" w:rsidP="00630232">
            <w:pPr>
              <w:spacing w:before="120" w:after="120"/>
              <w:jc w:val="both"/>
              <w:rPr>
                <w:rFonts w:cs="Arial"/>
                <w:b/>
                <w:bCs/>
                <w:sz w:val="20"/>
              </w:rPr>
            </w:pPr>
            <w:bookmarkStart w:id="22" w:name="_Hlk35849245"/>
            <w:bookmarkEnd w:id="20"/>
            <w:bookmarkEnd w:id="21"/>
            <w:r w:rsidRPr="00F02CF3">
              <w:rPr>
                <w:rFonts w:eastAsia="Calibri" w:cs="Arial"/>
                <w:b/>
                <w:bCs/>
                <w:sz w:val="20"/>
              </w:rPr>
              <w:t>Q33</w:t>
            </w:r>
          </w:p>
        </w:tc>
        <w:tc>
          <w:tcPr>
            <w:tcW w:w="1710" w:type="dxa"/>
            <w:shd w:val="clear" w:color="auto" w:fill="DBE5F1" w:themeFill="accent1" w:themeFillTint="33"/>
          </w:tcPr>
          <w:p w14:paraId="53C8820F" w14:textId="77777777" w:rsidR="004436D3" w:rsidRPr="00F02CF3" w:rsidRDefault="004436D3" w:rsidP="00630232">
            <w:pPr>
              <w:spacing w:before="120" w:after="120"/>
              <w:jc w:val="both"/>
              <w:rPr>
                <w:rFonts w:cs="Arial"/>
                <w:b/>
                <w:bCs/>
                <w:sz w:val="20"/>
              </w:rPr>
            </w:pPr>
            <w:r w:rsidRPr="00F02CF3">
              <w:rPr>
                <w:rFonts w:cs="Arial"/>
                <w:b/>
                <w:bCs/>
                <w:sz w:val="20"/>
              </w:rPr>
              <w:t>Appendix 7, #49</w:t>
            </w:r>
          </w:p>
        </w:tc>
        <w:tc>
          <w:tcPr>
            <w:tcW w:w="1710" w:type="dxa"/>
            <w:shd w:val="clear" w:color="auto" w:fill="DBE5F1" w:themeFill="accent1" w:themeFillTint="33"/>
          </w:tcPr>
          <w:p w14:paraId="4E325084" w14:textId="77777777" w:rsidR="004436D3" w:rsidRPr="00F02CF3" w:rsidRDefault="004436D3" w:rsidP="00630232">
            <w:pPr>
              <w:spacing w:before="120" w:after="120"/>
              <w:jc w:val="both"/>
              <w:rPr>
                <w:rFonts w:cs="Arial"/>
                <w:b/>
                <w:bCs/>
                <w:sz w:val="20"/>
              </w:rPr>
            </w:pPr>
            <w:r w:rsidRPr="00F02CF3">
              <w:rPr>
                <w:rFonts w:cs="Arial"/>
                <w:b/>
                <w:bCs/>
                <w:sz w:val="20"/>
              </w:rPr>
              <w:t>5 of 28</w:t>
            </w:r>
          </w:p>
        </w:tc>
        <w:tc>
          <w:tcPr>
            <w:tcW w:w="3420" w:type="dxa"/>
            <w:shd w:val="clear" w:color="auto" w:fill="DBE5F1" w:themeFill="accent1" w:themeFillTint="33"/>
          </w:tcPr>
          <w:p w14:paraId="7B47B456" w14:textId="77777777" w:rsidR="004436D3" w:rsidRPr="00F02CF3" w:rsidRDefault="004436D3" w:rsidP="00630232">
            <w:pPr>
              <w:pStyle w:val="ListParagraph"/>
              <w:numPr>
                <w:ilvl w:val="0"/>
                <w:numId w:val="12"/>
              </w:numPr>
              <w:spacing w:before="120" w:after="120"/>
              <w:rPr>
                <w:rFonts w:cs="Arial"/>
                <w:b/>
                <w:bCs/>
                <w:sz w:val="20"/>
              </w:rPr>
            </w:pPr>
            <w:r w:rsidRPr="00F02CF3">
              <w:rPr>
                <w:rFonts w:cs="Arial"/>
                <w:b/>
                <w:bCs/>
                <w:sz w:val="20"/>
              </w:rPr>
              <w:t>Can the State provide detail around the “prepaid premium payment account”? Does this refer to accounts used for billing group insurance invoices?</w:t>
            </w:r>
          </w:p>
          <w:p w14:paraId="08DE4606" w14:textId="77777777" w:rsidR="004436D3" w:rsidRPr="00F02CF3" w:rsidRDefault="004436D3" w:rsidP="00630232">
            <w:pPr>
              <w:pStyle w:val="ListParagraph"/>
              <w:numPr>
                <w:ilvl w:val="0"/>
                <w:numId w:val="12"/>
              </w:numPr>
              <w:spacing w:before="120" w:after="120"/>
              <w:rPr>
                <w:rFonts w:cs="Arial"/>
                <w:b/>
                <w:bCs/>
                <w:sz w:val="20"/>
              </w:rPr>
            </w:pPr>
            <w:r w:rsidRPr="00F02CF3">
              <w:rPr>
                <w:rFonts w:cs="Arial"/>
                <w:b/>
                <w:bCs/>
                <w:sz w:val="20"/>
              </w:rPr>
              <w:lastRenderedPageBreak/>
              <w:t>What does “customer” refer to in this question? The State? Employer groups/</w:t>
            </w:r>
          </w:p>
        </w:tc>
        <w:tc>
          <w:tcPr>
            <w:tcW w:w="5490" w:type="dxa"/>
            <w:shd w:val="clear" w:color="auto" w:fill="DBE5F1" w:themeFill="accent1" w:themeFillTint="33"/>
          </w:tcPr>
          <w:p w14:paraId="0B3134F9" w14:textId="79C9D92B" w:rsidR="004436D3" w:rsidRPr="00995DDB" w:rsidRDefault="004436D3" w:rsidP="00995DDB">
            <w:pPr>
              <w:pStyle w:val="ListParagraph"/>
              <w:numPr>
                <w:ilvl w:val="0"/>
                <w:numId w:val="39"/>
              </w:numPr>
              <w:spacing w:before="120" w:after="120"/>
              <w:rPr>
                <w:rFonts w:cs="Arial"/>
                <w:b/>
                <w:bCs/>
                <w:sz w:val="20"/>
              </w:rPr>
            </w:pPr>
            <w:r w:rsidRPr="00995DDB">
              <w:rPr>
                <w:rFonts w:cs="Arial"/>
                <w:b/>
                <w:bCs/>
                <w:sz w:val="20"/>
              </w:rPr>
              <w:lastRenderedPageBreak/>
              <w:t xml:space="preserve">A prepaid premium payment account holds a balance of credits at the member level that can be used to pay for the member’s state group health insurance premiums. </w:t>
            </w:r>
          </w:p>
          <w:p w14:paraId="5337C516" w14:textId="6A0CE16E" w:rsidR="004436D3" w:rsidRPr="00995DDB" w:rsidRDefault="004436D3" w:rsidP="00995DDB">
            <w:pPr>
              <w:spacing w:before="120" w:after="120"/>
              <w:ind w:left="360"/>
              <w:rPr>
                <w:rFonts w:cs="Arial"/>
                <w:b/>
                <w:bCs/>
                <w:sz w:val="20"/>
              </w:rPr>
            </w:pPr>
            <w:r w:rsidRPr="00995DDB">
              <w:rPr>
                <w:rFonts w:cs="Arial"/>
                <w:b/>
                <w:bCs/>
                <w:sz w:val="20"/>
              </w:rPr>
              <w:t xml:space="preserve">We currently have two different kinds of prepaid premium payment accounts – one funded by sick </w:t>
            </w:r>
            <w:r w:rsidRPr="00995DDB">
              <w:rPr>
                <w:rFonts w:cs="Arial"/>
                <w:b/>
                <w:bCs/>
                <w:sz w:val="20"/>
              </w:rPr>
              <w:lastRenderedPageBreak/>
              <w:t xml:space="preserve">leave credits and the other by life insurance conversion. </w:t>
            </w:r>
          </w:p>
          <w:p w14:paraId="5231148B" w14:textId="6013CB17" w:rsidR="004436D3" w:rsidRPr="00F02CF3" w:rsidRDefault="004436D3" w:rsidP="00995DDB">
            <w:pPr>
              <w:pStyle w:val="ListParagraph"/>
              <w:numPr>
                <w:ilvl w:val="0"/>
                <w:numId w:val="39"/>
              </w:numPr>
              <w:spacing w:before="120" w:after="120"/>
              <w:rPr>
                <w:rFonts w:cs="Arial"/>
                <w:b/>
                <w:bCs/>
                <w:sz w:val="20"/>
              </w:rPr>
            </w:pPr>
            <w:r w:rsidRPr="00F02CF3">
              <w:rPr>
                <w:rFonts w:cs="Arial"/>
                <w:b/>
                <w:bCs/>
                <w:sz w:val="20"/>
              </w:rPr>
              <w:t xml:space="preserve">The term “customer” in this question refers to the individual member. </w:t>
            </w:r>
          </w:p>
        </w:tc>
      </w:tr>
      <w:tr w:rsidR="004436D3" w:rsidRPr="009D089F" w14:paraId="63E094C6" w14:textId="77777777" w:rsidTr="00AC3150">
        <w:tc>
          <w:tcPr>
            <w:tcW w:w="720" w:type="dxa"/>
            <w:shd w:val="clear" w:color="auto" w:fill="EEECE1" w:themeFill="background2"/>
          </w:tcPr>
          <w:p w14:paraId="26A1BCFA" w14:textId="77777777" w:rsidR="004436D3" w:rsidRPr="009D089F" w:rsidRDefault="004436D3" w:rsidP="00630232">
            <w:pPr>
              <w:spacing w:before="120" w:after="120"/>
              <w:jc w:val="both"/>
              <w:rPr>
                <w:rFonts w:cs="Arial"/>
                <w:b/>
                <w:bCs/>
                <w:sz w:val="20"/>
              </w:rPr>
            </w:pPr>
            <w:bookmarkStart w:id="23" w:name="_Hlk36016569"/>
            <w:bookmarkEnd w:id="22"/>
            <w:r w:rsidRPr="009D089F">
              <w:rPr>
                <w:rFonts w:eastAsia="Calibri" w:cs="Arial"/>
                <w:b/>
                <w:bCs/>
                <w:sz w:val="20"/>
              </w:rPr>
              <w:lastRenderedPageBreak/>
              <w:t>Q34</w:t>
            </w:r>
          </w:p>
        </w:tc>
        <w:tc>
          <w:tcPr>
            <w:tcW w:w="1710" w:type="dxa"/>
            <w:shd w:val="clear" w:color="auto" w:fill="EEECE1" w:themeFill="background2"/>
          </w:tcPr>
          <w:p w14:paraId="25DB84C2" w14:textId="5EEAC8C0" w:rsidR="004436D3" w:rsidRPr="009D089F" w:rsidRDefault="004436D3" w:rsidP="00630232">
            <w:pPr>
              <w:spacing w:before="120" w:after="120"/>
              <w:jc w:val="both"/>
              <w:rPr>
                <w:rFonts w:cs="Arial"/>
                <w:b/>
                <w:bCs/>
                <w:sz w:val="20"/>
              </w:rPr>
            </w:pPr>
            <w:r w:rsidRPr="009D089F">
              <w:rPr>
                <w:rFonts w:cs="Arial"/>
                <w:b/>
                <w:bCs/>
                <w:sz w:val="20"/>
              </w:rPr>
              <w:t>Appendix 7, #50</w:t>
            </w:r>
          </w:p>
        </w:tc>
        <w:tc>
          <w:tcPr>
            <w:tcW w:w="1710" w:type="dxa"/>
            <w:shd w:val="clear" w:color="auto" w:fill="EEECE1" w:themeFill="background2"/>
          </w:tcPr>
          <w:p w14:paraId="7180DA52" w14:textId="77777777" w:rsidR="004436D3" w:rsidRPr="009D089F" w:rsidRDefault="004436D3" w:rsidP="00630232">
            <w:pPr>
              <w:spacing w:before="120" w:after="120"/>
              <w:jc w:val="both"/>
              <w:rPr>
                <w:rFonts w:cs="Arial"/>
                <w:b/>
                <w:bCs/>
                <w:sz w:val="20"/>
              </w:rPr>
            </w:pPr>
            <w:r w:rsidRPr="009D089F">
              <w:rPr>
                <w:rFonts w:cs="Arial"/>
                <w:b/>
                <w:bCs/>
                <w:sz w:val="20"/>
              </w:rPr>
              <w:t>5 of 28</w:t>
            </w:r>
          </w:p>
        </w:tc>
        <w:tc>
          <w:tcPr>
            <w:tcW w:w="3420" w:type="dxa"/>
            <w:shd w:val="clear" w:color="auto" w:fill="EEECE1" w:themeFill="background2"/>
          </w:tcPr>
          <w:p w14:paraId="77445F71" w14:textId="77777777" w:rsidR="004436D3" w:rsidRPr="009D089F" w:rsidRDefault="004436D3" w:rsidP="00630232">
            <w:pPr>
              <w:spacing w:before="120" w:after="120"/>
              <w:rPr>
                <w:rFonts w:eastAsia="Calibri" w:cs="Arial"/>
                <w:b/>
                <w:bCs/>
                <w:sz w:val="20"/>
              </w:rPr>
            </w:pPr>
            <w:r w:rsidRPr="009D089F">
              <w:rPr>
                <w:rFonts w:eastAsia="Calibri" w:cs="Arial"/>
                <w:b/>
                <w:bCs/>
                <w:sz w:val="20"/>
              </w:rPr>
              <w:t>Can the State provide any specific requirements to “integrate and coordinate with other group insurance functions” so the vendor can respond with more detail?</w:t>
            </w:r>
          </w:p>
        </w:tc>
        <w:tc>
          <w:tcPr>
            <w:tcW w:w="5490" w:type="dxa"/>
            <w:shd w:val="clear" w:color="auto" w:fill="EEECE1" w:themeFill="background2"/>
          </w:tcPr>
          <w:p w14:paraId="74D87DD4" w14:textId="4242E1A9" w:rsidR="004436D3" w:rsidRPr="009D089F" w:rsidRDefault="004436D3" w:rsidP="00630232">
            <w:pPr>
              <w:spacing w:before="120" w:after="120"/>
              <w:rPr>
                <w:b/>
                <w:bCs/>
                <w:color w:val="000000"/>
                <w:sz w:val="20"/>
              </w:rPr>
            </w:pPr>
            <w:r w:rsidRPr="009D089F">
              <w:rPr>
                <w:b/>
                <w:bCs/>
                <w:color w:val="000000"/>
                <w:sz w:val="20"/>
              </w:rPr>
              <w:t xml:space="preserve">Currently, ETF does not integrate with TPAs, so we have limited involvement and visibility related to supplemental insurance program enrollment and participation. Active employees enroll in these plans through their employers, who then forward application information directly to the TPAs. Retirees submit enrollment forms directly to the TPAs, except for the ERA program where enrollment forms are sent to ETF.  </w:t>
            </w:r>
          </w:p>
          <w:p w14:paraId="24181A6F" w14:textId="2B1E90B4" w:rsidR="004436D3" w:rsidRPr="009D089F" w:rsidRDefault="004436D3" w:rsidP="00630232">
            <w:pPr>
              <w:spacing w:before="120" w:after="120"/>
              <w:rPr>
                <w:b/>
                <w:bCs/>
                <w:color w:val="000000"/>
                <w:sz w:val="20"/>
              </w:rPr>
            </w:pPr>
            <w:r w:rsidRPr="009D089F">
              <w:rPr>
                <w:b/>
                <w:bCs/>
                <w:color w:val="000000"/>
                <w:sz w:val="20"/>
              </w:rPr>
              <w:t xml:space="preserve">ETF does not currently have enrollment databases for the supplemental insurance programs. Rather, we obtain member participation records via lists from the TPAs, from which we manually review certain plans to check retiree eligibility. </w:t>
            </w:r>
          </w:p>
          <w:p w14:paraId="6A8EC091" w14:textId="661DA568" w:rsidR="004436D3" w:rsidRPr="009D089F" w:rsidRDefault="004436D3" w:rsidP="00630232">
            <w:pPr>
              <w:spacing w:before="120" w:after="120"/>
              <w:rPr>
                <w:b/>
                <w:bCs/>
                <w:color w:val="000000"/>
                <w:sz w:val="20"/>
              </w:rPr>
            </w:pPr>
            <w:r w:rsidRPr="009D089F">
              <w:rPr>
                <w:b/>
                <w:bCs/>
                <w:color w:val="000000"/>
                <w:sz w:val="20"/>
              </w:rPr>
              <w:t xml:space="preserve">We are interested in </w:t>
            </w:r>
            <w:r w:rsidRPr="009D089F">
              <w:rPr>
                <w:rFonts w:cs="Arial"/>
                <w:b/>
                <w:bCs/>
                <w:sz w:val="20"/>
              </w:rPr>
              <w:t>any capabilities the Proposer’s system may offer to streamline, enhance, automate, and effectively track, manage, and integrate supplemental insurance program participation – including enrollment databases, elimination of manual processes, if possible, and ability to display and manage member participation in these and all other insurance programs in a comprehensive, cohesive manner.</w:t>
            </w:r>
          </w:p>
          <w:p w14:paraId="150E625F" w14:textId="3151822F" w:rsidR="004436D3" w:rsidRPr="009D089F" w:rsidRDefault="004436D3" w:rsidP="00630232">
            <w:pPr>
              <w:spacing w:before="120" w:after="120"/>
              <w:rPr>
                <w:rFonts w:cs="Arial"/>
                <w:b/>
                <w:bCs/>
                <w:sz w:val="20"/>
              </w:rPr>
            </w:pPr>
          </w:p>
        </w:tc>
      </w:tr>
      <w:tr w:rsidR="004436D3" w:rsidRPr="00507BDA" w14:paraId="64FB2831" w14:textId="77777777" w:rsidTr="00AC3150">
        <w:tc>
          <w:tcPr>
            <w:tcW w:w="720" w:type="dxa"/>
            <w:shd w:val="clear" w:color="auto" w:fill="DBE5F1" w:themeFill="accent1" w:themeFillTint="33"/>
          </w:tcPr>
          <w:p w14:paraId="39B86DF6" w14:textId="77777777" w:rsidR="004436D3" w:rsidRPr="00507BDA" w:rsidRDefault="004436D3" w:rsidP="00630232">
            <w:pPr>
              <w:spacing w:before="120" w:after="120"/>
              <w:jc w:val="both"/>
              <w:rPr>
                <w:rFonts w:cs="Arial"/>
                <w:b/>
                <w:bCs/>
                <w:sz w:val="20"/>
              </w:rPr>
            </w:pPr>
            <w:bookmarkStart w:id="24" w:name="_Hlk36111147"/>
            <w:bookmarkEnd w:id="23"/>
            <w:r w:rsidRPr="00507BDA">
              <w:rPr>
                <w:rFonts w:eastAsia="Calibri" w:cs="Arial"/>
                <w:b/>
                <w:bCs/>
                <w:sz w:val="20"/>
              </w:rPr>
              <w:t>Q35</w:t>
            </w:r>
          </w:p>
        </w:tc>
        <w:tc>
          <w:tcPr>
            <w:tcW w:w="1710" w:type="dxa"/>
            <w:shd w:val="clear" w:color="auto" w:fill="DBE5F1" w:themeFill="accent1" w:themeFillTint="33"/>
          </w:tcPr>
          <w:p w14:paraId="735F3DC5" w14:textId="77777777" w:rsidR="004436D3" w:rsidRPr="00507BDA" w:rsidRDefault="004436D3" w:rsidP="00630232">
            <w:pPr>
              <w:spacing w:before="120" w:after="120"/>
              <w:jc w:val="both"/>
              <w:rPr>
                <w:rFonts w:eastAsia="Calibri" w:cs="Arial"/>
                <w:b/>
                <w:bCs/>
                <w:sz w:val="20"/>
              </w:rPr>
            </w:pPr>
            <w:r w:rsidRPr="00507BDA">
              <w:rPr>
                <w:rFonts w:eastAsia="Calibri" w:cs="Arial"/>
                <w:b/>
                <w:bCs/>
                <w:sz w:val="20"/>
              </w:rPr>
              <w:t>Appendix 7, #56-#60</w:t>
            </w:r>
          </w:p>
        </w:tc>
        <w:tc>
          <w:tcPr>
            <w:tcW w:w="1710" w:type="dxa"/>
            <w:shd w:val="clear" w:color="auto" w:fill="DBE5F1" w:themeFill="accent1" w:themeFillTint="33"/>
          </w:tcPr>
          <w:p w14:paraId="27D1B2BE" w14:textId="77777777" w:rsidR="004436D3" w:rsidRPr="00507BDA" w:rsidRDefault="004436D3" w:rsidP="00630232">
            <w:pPr>
              <w:spacing w:before="120" w:after="120"/>
              <w:jc w:val="both"/>
              <w:rPr>
                <w:rFonts w:eastAsia="Calibri" w:cs="Arial"/>
                <w:b/>
                <w:bCs/>
                <w:sz w:val="20"/>
              </w:rPr>
            </w:pPr>
            <w:r w:rsidRPr="00507BDA">
              <w:rPr>
                <w:rFonts w:eastAsia="Calibri" w:cs="Arial"/>
                <w:b/>
                <w:bCs/>
                <w:sz w:val="20"/>
              </w:rPr>
              <w:t>6 of 28</w:t>
            </w:r>
          </w:p>
        </w:tc>
        <w:tc>
          <w:tcPr>
            <w:tcW w:w="3420" w:type="dxa"/>
            <w:shd w:val="clear" w:color="auto" w:fill="DBE5F1" w:themeFill="accent1" w:themeFillTint="33"/>
          </w:tcPr>
          <w:p w14:paraId="32C2E663" w14:textId="77777777" w:rsidR="004436D3" w:rsidRPr="00507BDA" w:rsidRDefault="004436D3" w:rsidP="00630232">
            <w:pPr>
              <w:spacing w:before="120" w:after="120"/>
              <w:rPr>
                <w:rFonts w:eastAsia="Calibri" w:cs="Arial"/>
                <w:b/>
                <w:bCs/>
                <w:sz w:val="20"/>
              </w:rPr>
            </w:pPr>
            <w:r w:rsidRPr="00507BDA">
              <w:rPr>
                <w:rFonts w:eastAsia="Calibri" w:cs="Arial"/>
                <w:b/>
                <w:bCs/>
                <w:sz w:val="20"/>
              </w:rPr>
              <w:t>Can the State provide additional details related to any services requiring fund management and specific scope required? (e.g. Direct Billing, Consolidated Billing, other)</w:t>
            </w:r>
          </w:p>
        </w:tc>
        <w:tc>
          <w:tcPr>
            <w:tcW w:w="5490" w:type="dxa"/>
            <w:shd w:val="clear" w:color="auto" w:fill="DBE5F1" w:themeFill="accent1" w:themeFillTint="33"/>
          </w:tcPr>
          <w:p w14:paraId="7A0D22C0" w14:textId="4A502BBF" w:rsidR="004436D3" w:rsidRPr="00507BDA" w:rsidRDefault="004436D3" w:rsidP="00630232">
            <w:pPr>
              <w:spacing w:before="120" w:after="120"/>
              <w:rPr>
                <w:rFonts w:cs="Arial"/>
                <w:b/>
                <w:bCs/>
                <w:sz w:val="20"/>
              </w:rPr>
            </w:pPr>
            <w:r>
              <w:rPr>
                <w:rFonts w:cs="Arial"/>
                <w:b/>
                <w:bCs/>
                <w:sz w:val="20"/>
              </w:rPr>
              <w:t xml:space="preserve">See responses to questions Q7-Q8 and Q12-Q17 above. </w:t>
            </w:r>
          </w:p>
        </w:tc>
      </w:tr>
      <w:tr w:rsidR="004436D3" w:rsidRPr="00576AB7" w14:paraId="29A8228D" w14:textId="77777777" w:rsidTr="00AC3150">
        <w:tc>
          <w:tcPr>
            <w:tcW w:w="720" w:type="dxa"/>
            <w:shd w:val="clear" w:color="auto" w:fill="EEECE1" w:themeFill="background2"/>
          </w:tcPr>
          <w:p w14:paraId="1241D72A" w14:textId="77777777" w:rsidR="004436D3" w:rsidRPr="00576AB7" w:rsidRDefault="004436D3" w:rsidP="00630232">
            <w:pPr>
              <w:spacing w:before="120" w:after="120"/>
              <w:jc w:val="both"/>
              <w:rPr>
                <w:rFonts w:eastAsia="Calibri" w:cs="Arial"/>
                <w:b/>
                <w:bCs/>
                <w:sz w:val="20"/>
              </w:rPr>
            </w:pPr>
            <w:bookmarkStart w:id="25" w:name="_Hlk36016586"/>
            <w:bookmarkEnd w:id="24"/>
            <w:r w:rsidRPr="00576AB7">
              <w:rPr>
                <w:rFonts w:eastAsia="Calibri" w:cs="Arial"/>
                <w:b/>
                <w:bCs/>
                <w:sz w:val="20"/>
              </w:rPr>
              <w:lastRenderedPageBreak/>
              <w:t>Q36</w:t>
            </w:r>
          </w:p>
        </w:tc>
        <w:tc>
          <w:tcPr>
            <w:tcW w:w="1710" w:type="dxa"/>
            <w:shd w:val="clear" w:color="auto" w:fill="EEECE1" w:themeFill="background2"/>
          </w:tcPr>
          <w:p w14:paraId="02E8274D" w14:textId="77777777" w:rsidR="004436D3" w:rsidRPr="00576AB7" w:rsidRDefault="004436D3" w:rsidP="00630232">
            <w:pPr>
              <w:spacing w:before="120" w:after="120"/>
              <w:jc w:val="both"/>
              <w:rPr>
                <w:rFonts w:eastAsia="Calibri" w:cs="Arial"/>
                <w:b/>
                <w:bCs/>
                <w:sz w:val="20"/>
              </w:rPr>
            </w:pPr>
            <w:r w:rsidRPr="00576AB7">
              <w:rPr>
                <w:rFonts w:eastAsia="Arial" w:cs="Arial"/>
                <w:b/>
                <w:bCs/>
                <w:sz w:val="20"/>
              </w:rPr>
              <w:t>Appendix 7, #90</w:t>
            </w:r>
          </w:p>
        </w:tc>
        <w:tc>
          <w:tcPr>
            <w:tcW w:w="1710" w:type="dxa"/>
            <w:shd w:val="clear" w:color="auto" w:fill="EEECE1" w:themeFill="background2"/>
          </w:tcPr>
          <w:p w14:paraId="1F385B90" w14:textId="77777777" w:rsidR="004436D3" w:rsidRPr="00576AB7" w:rsidRDefault="004436D3" w:rsidP="00630232">
            <w:pPr>
              <w:spacing w:before="120" w:after="120"/>
              <w:jc w:val="both"/>
              <w:rPr>
                <w:rFonts w:eastAsia="Calibri" w:cs="Arial"/>
                <w:b/>
                <w:bCs/>
                <w:sz w:val="20"/>
              </w:rPr>
            </w:pPr>
            <w:r w:rsidRPr="00576AB7">
              <w:rPr>
                <w:rFonts w:eastAsia="Arial" w:cs="Arial"/>
                <w:b/>
                <w:bCs/>
                <w:sz w:val="20"/>
              </w:rPr>
              <w:t>8 of 28</w:t>
            </w:r>
          </w:p>
        </w:tc>
        <w:tc>
          <w:tcPr>
            <w:tcW w:w="3420" w:type="dxa"/>
            <w:shd w:val="clear" w:color="auto" w:fill="EEECE1" w:themeFill="background2"/>
          </w:tcPr>
          <w:p w14:paraId="501D6BB2" w14:textId="77777777" w:rsidR="004436D3" w:rsidRPr="00576AB7" w:rsidRDefault="004436D3" w:rsidP="00630232">
            <w:pPr>
              <w:pStyle w:val="ListParagraph"/>
              <w:numPr>
                <w:ilvl w:val="0"/>
                <w:numId w:val="13"/>
              </w:numPr>
              <w:spacing w:before="120" w:after="120"/>
              <w:rPr>
                <w:rFonts w:eastAsia="Calibri" w:cs="Arial"/>
                <w:b/>
                <w:bCs/>
                <w:sz w:val="20"/>
              </w:rPr>
            </w:pPr>
            <w:r w:rsidRPr="00576AB7">
              <w:rPr>
                <w:rFonts w:eastAsia="Arial" w:cs="Arial"/>
                <w:b/>
                <w:bCs/>
                <w:sz w:val="20"/>
              </w:rPr>
              <w:t xml:space="preserve">For purposes of this question, who does “customers” refer to? </w:t>
            </w:r>
          </w:p>
          <w:p w14:paraId="13B967FB" w14:textId="77777777" w:rsidR="004436D3" w:rsidRPr="00576AB7" w:rsidRDefault="004436D3" w:rsidP="00630232">
            <w:pPr>
              <w:pStyle w:val="ListParagraph"/>
              <w:numPr>
                <w:ilvl w:val="0"/>
                <w:numId w:val="13"/>
              </w:numPr>
              <w:spacing w:before="120" w:after="120"/>
              <w:rPr>
                <w:rFonts w:eastAsia="Calibri" w:cs="Arial"/>
                <w:b/>
                <w:bCs/>
                <w:sz w:val="20"/>
              </w:rPr>
            </w:pPr>
            <w:r w:rsidRPr="00576AB7">
              <w:rPr>
                <w:rFonts w:eastAsia="Arial" w:cs="Arial"/>
                <w:b/>
                <w:bCs/>
                <w:sz w:val="20"/>
              </w:rPr>
              <w:t>What types of “accounts” is the State looking for information to be exchanged for?</w:t>
            </w:r>
          </w:p>
        </w:tc>
        <w:tc>
          <w:tcPr>
            <w:tcW w:w="5490" w:type="dxa"/>
            <w:shd w:val="clear" w:color="auto" w:fill="EEECE1" w:themeFill="background2"/>
          </w:tcPr>
          <w:p w14:paraId="590664BB" w14:textId="5EE05EA9" w:rsidR="004436D3" w:rsidRDefault="004436D3" w:rsidP="00D124AC">
            <w:pPr>
              <w:pStyle w:val="ListParagraph"/>
              <w:numPr>
                <w:ilvl w:val="0"/>
                <w:numId w:val="44"/>
              </w:numPr>
              <w:spacing w:before="120" w:after="120"/>
              <w:ind w:left="340"/>
              <w:rPr>
                <w:rFonts w:cs="Arial"/>
                <w:b/>
                <w:bCs/>
                <w:sz w:val="20"/>
              </w:rPr>
            </w:pPr>
            <w:r w:rsidRPr="00D124AC">
              <w:rPr>
                <w:rFonts w:cs="Arial"/>
                <w:b/>
                <w:bCs/>
                <w:sz w:val="20"/>
              </w:rPr>
              <w:t>For purposes of this question, “customers” refers to both members and employers.</w:t>
            </w:r>
          </w:p>
          <w:p w14:paraId="609C59AD" w14:textId="77777777" w:rsidR="004436D3" w:rsidRDefault="004436D3" w:rsidP="00D124AC">
            <w:pPr>
              <w:pStyle w:val="ListParagraph"/>
              <w:spacing w:before="120" w:after="120"/>
              <w:ind w:left="340"/>
              <w:rPr>
                <w:rFonts w:cs="Arial"/>
                <w:b/>
                <w:bCs/>
                <w:sz w:val="20"/>
              </w:rPr>
            </w:pPr>
          </w:p>
          <w:p w14:paraId="4AD6B344" w14:textId="0B1BB781" w:rsidR="004436D3" w:rsidRPr="00D124AC" w:rsidRDefault="004436D3" w:rsidP="00D124AC">
            <w:pPr>
              <w:pStyle w:val="ListParagraph"/>
              <w:numPr>
                <w:ilvl w:val="0"/>
                <w:numId w:val="44"/>
              </w:numPr>
              <w:spacing w:before="120" w:after="120"/>
              <w:ind w:left="340"/>
              <w:rPr>
                <w:rFonts w:cs="Arial"/>
                <w:b/>
                <w:bCs/>
                <w:sz w:val="20"/>
              </w:rPr>
            </w:pPr>
            <w:r>
              <w:rPr>
                <w:rFonts w:cs="Arial"/>
                <w:b/>
                <w:bCs/>
                <w:sz w:val="20"/>
              </w:rPr>
              <w:t xml:space="preserve">In this context, “accounts” relates to insurance benefit accounts, including details such as </w:t>
            </w:r>
            <w:r w:rsidRPr="006705FA">
              <w:rPr>
                <w:rFonts w:cs="Arial"/>
                <w:b/>
                <w:bCs/>
                <w:sz w:val="20"/>
              </w:rPr>
              <w:t>eligibility, enrollment, coverage, premium payments</w:t>
            </w:r>
            <w:r>
              <w:rPr>
                <w:rFonts w:cs="Arial"/>
                <w:b/>
                <w:bCs/>
                <w:sz w:val="20"/>
              </w:rPr>
              <w:t>, etc.</w:t>
            </w:r>
            <w:r w:rsidRPr="00D124AC">
              <w:rPr>
                <w:rFonts w:cs="Arial"/>
                <w:b/>
                <w:bCs/>
                <w:sz w:val="20"/>
              </w:rPr>
              <w:t xml:space="preserve"> </w:t>
            </w:r>
          </w:p>
        </w:tc>
      </w:tr>
      <w:tr w:rsidR="004436D3" w:rsidRPr="00382A25" w14:paraId="3989D85A" w14:textId="77777777" w:rsidTr="00AC3150">
        <w:tc>
          <w:tcPr>
            <w:tcW w:w="720" w:type="dxa"/>
            <w:shd w:val="clear" w:color="auto" w:fill="DBE5F1" w:themeFill="accent1" w:themeFillTint="33"/>
          </w:tcPr>
          <w:p w14:paraId="324255D0" w14:textId="77777777" w:rsidR="004436D3" w:rsidRPr="00382A25" w:rsidRDefault="004436D3" w:rsidP="00630232">
            <w:pPr>
              <w:spacing w:after="160"/>
              <w:jc w:val="both"/>
              <w:rPr>
                <w:rFonts w:eastAsia="Calibri" w:cs="Arial"/>
                <w:b/>
                <w:bCs/>
                <w:sz w:val="20"/>
              </w:rPr>
            </w:pPr>
            <w:bookmarkStart w:id="26" w:name="_Hlk35290139"/>
            <w:bookmarkEnd w:id="25"/>
            <w:r w:rsidRPr="00382A25">
              <w:rPr>
                <w:rFonts w:eastAsia="Calibri" w:cs="Arial"/>
                <w:b/>
                <w:bCs/>
                <w:sz w:val="20"/>
              </w:rPr>
              <w:t>Q37</w:t>
            </w:r>
          </w:p>
        </w:tc>
        <w:tc>
          <w:tcPr>
            <w:tcW w:w="1710" w:type="dxa"/>
            <w:shd w:val="clear" w:color="auto" w:fill="DBE5F1" w:themeFill="accent1" w:themeFillTint="33"/>
          </w:tcPr>
          <w:p w14:paraId="35E2D731" w14:textId="77777777" w:rsidR="004436D3" w:rsidRPr="00382A25" w:rsidRDefault="004436D3" w:rsidP="00630232">
            <w:pPr>
              <w:spacing w:after="160"/>
              <w:jc w:val="both"/>
              <w:rPr>
                <w:rFonts w:eastAsia="Calibri" w:cs="Arial"/>
                <w:b/>
                <w:bCs/>
                <w:sz w:val="20"/>
              </w:rPr>
            </w:pPr>
            <w:r w:rsidRPr="00382A25">
              <w:rPr>
                <w:rFonts w:eastAsia="Arial" w:cs="Arial"/>
                <w:b/>
                <w:bCs/>
                <w:sz w:val="20"/>
              </w:rPr>
              <w:t>Appendix 7, #102-3</w:t>
            </w:r>
          </w:p>
        </w:tc>
        <w:tc>
          <w:tcPr>
            <w:tcW w:w="1710" w:type="dxa"/>
            <w:shd w:val="clear" w:color="auto" w:fill="DBE5F1" w:themeFill="accent1" w:themeFillTint="33"/>
          </w:tcPr>
          <w:p w14:paraId="5A664957" w14:textId="77777777" w:rsidR="004436D3" w:rsidRPr="00382A25" w:rsidRDefault="004436D3" w:rsidP="00630232">
            <w:pPr>
              <w:spacing w:after="160"/>
              <w:jc w:val="both"/>
              <w:rPr>
                <w:rFonts w:eastAsia="Calibri" w:cs="Arial"/>
                <w:b/>
                <w:bCs/>
                <w:sz w:val="20"/>
              </w:rPr>
            </w:pPr>
            <w:r w:rsidRPr="00382A25">
              <w:rPr>
                <w:rFonts w:eastAsia="Calibri" w:cs="Arial"/>
                <w:b/>
                <w:bCs/>
                <w:sz w:val="20"/>
              </w:rPr>
              <w:t>10 of 28</w:t>
            </w:r>
          </w:p>
        </w:tc>
        <w:tc>
          <w:tcPr>
            <w:tcW w:w="3420" w:type="dxa"/>
            <w:shd w:val="clear" w:color="auto" w:fill="DBE5F1" w:themeFill="accent1" w:themeFillTint="33"/>
          </w:tcPr>
          <w:p w14:paraId="44FD9A73" w14:textId="1CC4B2A5" w:rsidR="004436D3" w:rsidRPr="00382A25" w:rsidRDefault="004436D3" w:rsidP="00630232">
            <w:pPr>
              <w:spacing w:after="160"/>
              <w:rPr>
                <w:rFonts w:eastAsia="Arial" w:cs="Arial"/>
                <w:b/>
                <w:bCs/>
                <w:sz w:val="20"/>
              </w:rPr>
            </w:pPr>
            <w:r w:rsidRPr="00382A25">
              <w:rPr>
                <w:rFonts w:eastAsia="Arial" w:cs="Arial"/>
                <w:b/>
                <w:bCs/>
                <w:sz w:val="20"/>
              </w:rPr>
              <w:t>Can the state provide details related to the types of training and education required by the IAS vendor?</w:t>
            </w:r>
          </w:p>
        </w:tc>
        <w:tc>
          <w:tcPr>
            <w:tcW w:w="5490" w:type="dxa"/>
            <w:shd w:val="clear" w:color="auto" w:fill="DBE5F1" w:themeFill="accent1" w:themeFillTint="33"/>
          </w:tcPr>
          <w:p w14:paraId="665B3A4D" w14:textId="77777777" w:rsidR="004436D3" w:rsidRDefault="004436D3" w:rsidP="00630232">
            <w:pPr>
              <w:spacing w:after="160"/>
              <w:rPr>
                <w:rFonts w:cs="Arial"/>
                <w:b/>
                <w:bCs/>
                <w:sz w:val="20"/>
              </w:rPr>
            </w:pPr>
            <w:r w:rsidRPr="00CF0F6D">
              <w:rPr>
                <w:rFonts w:cs="Arial"/>
                <w:b/>
                <w:bCs/>
                <w:sz w:val="20"/>
              </w:rPr>
              <w:t>ETF does not currently have this functionality today, but we are interested in any capabilities the Proposer’s system offers in this area.</w:t>
            </w:r>
          </w:p>
          <w:p w14:paraId="7D2FBF9F" w14:textId="1BA7D8B9" w:rsidR="004436D3" w:rsidRDefault="004436D3" w:rsidP="00630232">
            <w:pPr>
              <w:spacing w:after="160"/>
              <w:rPr>
                <w:rFonts w:cs="Arial"/>
                <w:b/>
                <w:bCs/>
                <w:sz w:val="20"/>
              </w:rPr>
            </w:pPr>
            <w:r>
              <w:rPr>
                <w:rFonts w:cs="Arial"/>
                <w:b/>
                <w:bCs/>
                <w:sz w:val="20"/>
              </w:rPr>
              <w:t>Examples of such training and educational opportunities might include:</w:t>
            </w:r>
          </w:p>
          <w:p w14:paraId="76E24EBD" w14:textId="62AC02A1" w:rsidR="004436D3" w:rsidRDefault="004436D3" w:rsidP="005A7FCB">
            <w:pPr>
              <w:pStyle w:val="ListParagraph"/>
              <w:numPr>
                <w:ilvl w:val="0"/>
                <w:numId w:val="21"/>
              </w:numPr>
              <w:spacing w:after="160"/>
              <w:rPr>
                <w:rFonts w:cs="Arial"/>
                <w:b/>
                <w:bCs/>
                <w:sz w:val="20"/>
              </w:rPr>
            </w:pPr>
            <w:r w:rsidRPr="005A7FCB">
              <w:rPr>
                <w:rFonts w:cs="Arial"/>
                <w:b/>
                <w:bCs/>
                <w:sz w:val="20"/>
              </w:rPr>
              <w:t>When a new employer user is added to the system, IAS generate</w:t>
            </w:r>
            <w:r>
              <w:rPr>
                <w:rFonts w:cs="Arial"/>
                <w:b/>
                <w:bCs/>
                <w:sz w:val="20"/>
              </w:rPr>
              <w:t>s</w:t>
            </w:r>
            <w:r w:rsidRPr="005A7FCB">
              <w:rPr>
                <w:rFonts w:cs="Arial"/>
                <w:b/>
                <w:bCs/>
                <w:sz w:val="20"/>
              </w:rPr>
              <w:t xml:space="preserve"> a notice and required trainings regarding system usage, benefit eligibility and enrollment rules, etc., and track</w:t>
            </w:r>
            <w:r>
              <w:rPr>
                <w:rFonts w:cs="Arial"/>
                <w:b/>
                <w:bCs/>
                <w:sz w:val="20"/>
              </w:rPr>
              <w:t>s</w:t>
            </w:r>
            <w:r w:rsidRPr="005A7FCB">
              <w:rPr>
                <w:rFonts w:cs="Arial"/>
                <w:b/>
                <w:bCs/>
                <w:sz w:val="20"/>
              </w:rPr>
              <w:t xml:space="preserve"> user progress in completing those trainings</w:t>
            </w:r>
          </w:p>
          <w:p w14:paraId="66252C24" w14:textId="6DF81709" w:rsidR="004436D3" w:rsidRDefault="004436D3" w:rsidP="004231BE">
            <w:pPr>
              <w:pStyle w:val="ListParagraph"/>
              <w:numPr>
                <w:ilvl w:val="0"/>
                <w:numId w:val="21"/>
              </w:numPr>
              <w:spacing w:after="160"/>
              <w:rPr>
                <w:rFonts w:cs="Arial"/>
                <w:b/>
                <w:bCs/>
                <w:sz w:val="20"/>
              </w:rPr>
            </w:pPr>
            <w:r>
              <w:rPr>
                <w:rFonts w:cs="Arial"/>
                <w:b/>
                <w:bCs/>
                <w:sz w:val="20"/>
              </w:rPr>
              <w:t xml:space="preserve">IAS evaluates and identifies trends in employer errors and produces related trainings or other educational materials to address those errors. </w:t>
            </w:r>
          </w:p>
          <w:p w14:paraId="61989CAE" w14:textId="11F0876F" w:rsidR="004436D3" w:rsidRPr="004231BE" w:rsidRDefault="004436D3" w:rsidP="004231BE">
            <w:pPr>
              <w:pStyle w:val="ListParagraph"/>
              <w:numPr>
                <w:ilvl w:val="0"/>
                <w:numId w:val="21"/>
              </w:numPr>
              <w:spacing w:after="160"/>
              <w:rPr>
                <w:rFonts w:cs="Arial"/>
                <w:b/>
                <w:bCs/>
                <w:sz w:val="20"/>
              </w:rPr>
            </w:pPr>
            <w:r>
              <w:rPr>
                <w:rFonts w:cs="Arial"/>
                <w:b/>
                <w:bCs/>
                <w:sz w:val="20"/>
              </w:rPr>
              <w:t>In advance of an upcoming event, such as the Annual Enrollment period, new benefit offering, etc., IAS produces member and employer trainings or other education materials to explain the event, eligibility rules, timelines, how to enroll or change coverage, etc.</w:t>
            </w:r>
          </w:p>
          <w:p w14:paraId="203F3FFA" w14:textId="2F7F210D" w:rsidR="004436D3" w:rsidRPr="005A7FCB" w:rsidRDefault="004436D3" w:rsidP="005A7FCB">
            <w:pPr>
              <w:pStyle w:val="ListParagraph"/>
              <w:numPr>
                <w:ilvl w:val="0"/>
                <w:numId w:val="21"/>
              </w:numPr>
              <w:spacing w:after="160"/>
              <w:rPr>
                <w:rFonts w:cs="Arial"/>
                <w:b/>
                <w:bCs/>
                <w:sz w:val="20"/>
              </w:rPr>
            </w:pPr>
            <w:r>
              <w:rPr>
                <w:rFonts w:cs="Arial"/>
                <w:b/>
                <w:bCs/>
                <w:sz w:val="20"/>
              </w:rPr>
              <w:t>IAS identifies when members reach the age for Medicare eligibility and produces training or other educational materials to guide them through the decision and enrollment process.</w:t>
            </w:r>
          </w:p>
          <w:p w14:paraId="501B11E2" w14:textId="2A336004" w:rsidR="004436D3" w:rsidRPr="00382A25" w:rsidRDefault="004436D3" w:rsidP="00630232">
            <w:pPr>
              <w:spacing w:after="160"/>
              <w:rPr>
                <w:rFonts w:cs="Arial"/>
                <w:b/>
                <w:bCs/>
                <w:sz w:val="20"/>
              </w:rPr>
            </w:pPr>
            <w:r>
              <w:rPr>
                <w:rFonts w:cs="Arial"/>
                <w:b/>
                <w:bCs/>
                <w:sz w:val="20"/>
              </w:rPr>
              <w:t xml:space="preserve">Proposers are encouraged to provide details of any functionality of this nature that their systems may offer. </w:t>
            </w:r>
          </w:p>
        </w:tc>
      </w:tr>
      <w:bookmarkEnd w:id="26"/>
      <w:tr w:rsidR="004436D3" w:rsidRPr="00DD2417" w14:paraId="7D77D3EC" w14:textId="77777777" w:rsidTr="00AC3150">
        <w:tc>
          <w:tcPr>
            <w:tcW w:w="720" w:type="dxa"/>
            <w:shd w:val="clear" w:color="auto" w:fill="EEECE1" w:themeFill="background2"/>
          </w:tcPr>
          <w:p w14:paraId="783DD8F2" w14:textId="77777777" w:rsidR="004436D3" w:rsidRPr="00DD2417" w:rsidRDefault="004436D3" w:rsidP="00630232">
            <w:pPr>
              <w:spacing w:after="160"/>
              <w:jc w:val="both"/>
              <w:rPr>
                <w:rFonts w:eastAsia="Calibri" w:cs="Arial"/>
                <w:b/>
                <w:bCs/>
                <w:sz w:val="20"/>
              </w:rPr>
            </w:pPr>
            <w:r w:rsidRPr="00DD2417">
              <w:rPr>
                <w:rFonts w:eastAsia="Calibri" w:cs="Arial"/>
                <w:b/>
                <w:bCs/>
                <w:sz w:val="20"/>
              </w:rPr>
              <w:lastRenderedPageBreak/>
              <w:t>Q38</w:t>
            </w:r>
          </w:p>
        </w:tc>
        <w:tc>
          <w:tcPr>
            <w:tcW w:w="1710" w:type="dxa"/>
            <w:shd w:val="clear" w:color="auto" w:fill="EEECE1" w:themeFill="background2"/>
          </w:tcPr>
          <w:p w14:paraId="77B8BD76" w14:textId="77777777" w:rsidR="004436D3" w:rsidRPr="00DD2417" w:rsidRDefault="004436D3" w:rsidP="00630232">
            <w:pPr>
              <w:spacing w:after="160"/>
              <w:jc w:val="both"/>
              <w:rPr>
                <w:rFonts w:eastAsia="Calibri" w:cs="Arial"/>
                <w:b/>
                <w:bCs/>
                <w:sz w:val="20"/>
              </w:rPr>
            </w:pPr>
            <w:r w:rsidRPr="00DD2417">
              <w:rPr>
                <w:rFonts w:eastAsia="Calibri" w:cs="Arial"/>
                <w:b/>
                <w:bCs/>
                <w:sz w:val="20"/>
              </w:rPr>
              <w:t>ET10050</w:t>
            </w:r>
          </w:p>
        </w:tc>
        <w:tc>
          <w:tcPr>
            <w:tcW w:w="1710" w:type="dxa"/>
            <w:shd w:val="clear" w:color="auto" w:fill="EEECE1" w:themeFill="background2"/>
          </w:tcPr>
          <w:p w14:paraId="05495A52" w14:textId="77777777" w:rsidR="004436D3" w:rsidRPr="00DD2417" w:rsidRDefault="004436D3" w:rsidP="00630232">
            <w:pPr>
              <w:spacing w:after="160"/>
              <w:jc w:val="both"/>
              <w:rPr>
                <w:rFonts w:eastAsia="Calibri" w:cs="Arial"/>
                <w:b/>
                <w:bCs/>
                <w:sz w:val="20"/>
              </w:rPr>
            </w:pPr>
          </w:p>
        </w:tc>
        <w:tc>
          <w:tcPr>
            <w:tcW w:w="3420" w:type="dxa"/>
            <w:shd w:val="clear" w:color="auto" w:fill="EEECE1" w:themeFill="background2"/>
          </w:tcPr>
          <w:p w14:paraId="6A1AB867" w14:textId="529FD27A" w:rsidR="004436D3" w:rsidRPr="00DD2417" w:rsidRDefault="004436D3" w:rsidP="00630232">
            <w:pPr>
              <w:spacing w:after="160" w:line="259" w:lineRule="auto"/>
              <w:rPr>
                <w:rFonts w:eastAsia="Arial" w:cs="Arial"/>
                <w:b/>
                <w:bCs/>
                <w:sz w:val="20"/>
              </w:rPr>
            </w:pPr>
            <w:r w:rsidRPr="00DD2417">
              <w:rPr>
                <w:rFonts w:eastAsia="Arial" w:cs="Arial"/>
                <w:b/>
                <w:bCs/>
                <w:sz w:val="20"/>
              </w:rPr>
              <w:t>Does the State have split family scenarios where a family member is allowed to be actively enrolled in the same benefit (i.e., medical) across different employing entities at the same time?</w:t>
            </w:r>
          </w:p>
        </w:tc>
        <w:tc>
          <w:tcPr>
            <w:tcW w:w="5490" w:type="dxa"/>
            <w:shd w:val="clear" w:color="auto" w:fill="EEECE1" w:themeFill="background2"/>
          </w:tcPr>
          <w:p w14:paraId="457D4AEE" w14:textId="4D854725" w:rsidR="004436D3" w:rsidRPr="00DD2417" w:rsidRDefault="004436D3" w:rsidP="00630232">
            <w:pPr>
              <w:spacing w:after="160"/>
              <w:rPr>
                <w:rFonts w:cs="Arial"/>
                <w:b/>
                <w:bCs/>
                <w:sz w:val="20"/>
              </w:rPr>
            </w:pPr>
            <w:r w:rsidRPr="00DD2417">
              <w:rPr>
                <w:rFonts w:cs="Arial"/>
                <w:b/>
                <w:bCs/>
                <w:sz w:val="20"/>
              </w:rPr>
              <w:t xml:space="preserve">Yes, there are some situations where an individual can be actively enrolled in the same benefit program across different employing entities at the same time. </w:t>
            </w:r>
          </w:p>
          <w:p w14:paraId="1E214599" w14:textId="11BB9392" w:rsidR="004436D3" w:rsidRPr="00DD2417" w:rsidRDefault="004436D3" w:rsidP="00630232">
            <w:pPr>
              <w:spacing w:after="160"/>
              <w:rPr>
                <w:rFonts w:cs="Arial"/>
                <w:b/>
                <w:bCs/>
                <w:sz w:val="20"/>
              </w:rPr>
            </w:pPr>
            <w:r w:rsidRPr="00DD2417">
              <w:rPr>
                <w:rFonts w:cs="Arial"/>
                <w:b/>
                <w:bCs/>
                <w:sz w:val="20"/>
              </w:rPr>
              <w:t>This type of dual coverage is prohibited for the health insurance and supplemental benefit programs but is allowed for life insurance in select circumstances (e.g., simultaneous employment at two local employers or with both a state and a local employer, coverage as both the employee and the spouse of an employee, etc.).</w:t>
            </w:r>
          </w:p>
        </w:tc>
      </w:tr>
      <w:tr w:rsidR="004436D3" w:rsidRPr="00FD7F69" w14:paraId="1BBB06A8" w14:textId="77777777" w:rsidTr="00AC3150">
        <w:tc>
          <w:tcPr>
            <w:tcW w:w="720" w:type="dxa"/>
            <w:shd w:val="clear" w:color="auto" w:fill="DBE5F1" w:themeFill="accent1" w:themeFillTint="33"/>
          </w:tcPr>
          <w:p w14:paraId="790A00AA" w14:textId="77777777" w:rsidR="004436D3" w:rsidRPr="00FD7F69" w:rsidRDefault="004436D3" w:rsidP="00630232">
            <w:pPr>
              <w:spacing w:after="160"/>
              <w:jc w:val="both"/>
              <w:rPr>
                <w:rFonts w:eastAsia="Calibri" w:cs="Arial"/>
                <w:b/>
                <w:bCs/>
                <w:sz w:val="20"/>
              </w:rPr>
            </w:pPr>
            <w:r w:rsidRPr="00FD7F69">
              <w:rPr>
                <w:rFonts w:eastAsia="Calibri" w:cs="Arial"/>
                <w:b/>
                <w:bCs/>
                <w:sz w:val="20"/>
              </w:rPr>
              <w:t>Q39</w:t>
            </w:r>
          </w:p>
        </w:tc>
        <w:tc>
          <w:tcPr>
            <w:tcW w:w="1710" w:type="dxa"/>
            <w:shd w:val="clear" w:color="auto" w:fill="DBE5F1" w:themeFill="accent1" w:themeFillTint="33"/>
          </w:tcPr>
          <w:p w14:paraId="0FC86462" w14:textId="77777777" w:rsidR="004436D3" w:rsidRPr="00FD7F69" w:rsidRDefault="004436D3" w:rsidP="00630232">
            <w:pPr>
              <w:jc w:val="both"/>
              <w:rPr>
                <w:rFonts w:eastAsia="Calibri" w:cs="Arial"/>
                <w:b/>
                <w:bCs/>
                <w:sz w:val="20"/>
              </w:rPr>
            </w:pPr>
            <w:r w:rsidRPr="00FD7F69">
              <w:rPr>
                <w:rFonts w:eastAsia="Calibri" w:cs="Arial"/>
                <w:b/>
                <w:bCs/>
                <w:sz w:val="20"/>
              </w:rPr>
              <w:t xml:space="preserve">ET10050, </w:t>
            </w:r>
          </w:p>
        </w:tc>
        <w:tc>
          <w:tcPr>
            <w:tcW w:w="1710" w:type="dxa"/>
            <w:shd w:val="clear" w:color="auto" w:fill="DBE5F1" w:themeFill="accent1" w:themeFillTint="33"/>
          </w:tcPr>
          <w:p w14:paraId="15BFC95D" w14:textId="77777777" w:rsidR="004436D3" w:rsidRPr="00FD7F69" w:rsidRDefault="004436D3" w:rsidP="00630232">
            <w:pPr>
              <w:spacing w:after="160"/>
              <w:jc w:val="both"/>
              <w:rPr>
                <w:rFonts w:eastAsia="Calibri" w:cs="Arial"/>
                <w:b/>
                <w:bCs/>
                <w:sz w:val="20"/>
              </w:rPr>
            </w:pPr>
            <w:r w:rsidRPr="00FD7F69">
              <w:rPr>
                <w:rFonts w:eastAsia="Calibri" w:cs="Arial"/>
                <w:b/>
                <w:bCs/>
                <w:sz w:val="20"/>
              </w:rPr>
              <w:t>5 of 33</w:t>
            </w:r>
          </w:p>
        </w:tc>
        <w:tc>
          <w:tcPr>
            <w:tcW w:w="3420" w:type="dxa"/>
            <w:shd w:val="clear" w:color="auto" w:fill="DBE5F1" w:themeFill="accent1" w:themeFillTint="33"/>
          </w:tcPr>
          <w:p w14:paraId="3DA15195" w14:textId="58117A2F" w:rsidR="004436D3" w:rsidRPr="00FD7F69" w:rsidRDefault="004436D3" w:rsidP="00630232">
            <w:pPr>
              <w:spacing w:after="160"/>
              <w:rPr>
                <w:rFonts w:eastAsia="Arial" w:cs="Arial"/>
                <w:b/>
                <w:bCs/>
                <w:sz w:val="20"/>
              </w:rPr>
            </w:pPr>
            <w:r w:rsidRPr="00FD7F69">
              <w:rPr>
                <w:rFonts w:eastAsia="Arial" w:cs="Arial"/>
                <w:b/>
                <w:bCs/>
                <w:sz w:val="20"/>
              </w:rPr>
              <w:t>How many enrolled vs. eligible subscribers and dependents are there broken out by each benefit type? i.e.: How many employees are actually eligible for Medical? We see there are 110,237 subscribers enrolled, &amp; 128,580 dependents. Does this mean there are only 110,237 eligible employees that would ever potentially log into the new IAS to accept or decline coverage?</w:t>
            </w:r>
          </w:p>
        </w:tc>
        <w:tc>
          <w:tcPr>
            <w:tcW w:w="5490" w:type="dxa"/>
            <w:shd w:val="clear" w:color="auto" w:fill="DBE5F1" w:themeFill="accent1" w:themeFillTint="33"/>
          </w:tcPr>
          <w:p w14:paraId="30966BB1" w14:textId="0B9A6992" w:rsidR="004436D3" w:rsidRPr="00FD7F69" w:rsidRDefault="004436D3" w:rsidP="00F60C63">
            <w:pPr>
              <w:spacing w:after="160"/>
              <w:rPr>
                <w:rFonts w:cs="Arial"/>
                <w:b/>
                <w:bCs/>
                <w:sz w:val="20"/>
              </w:rPr>
            </w:pPr>
            <w:r w:rsidRPr="00FD7F69">
              <w:rPr>
                <w:rFonts w:cs="Arial"/>
                <w:b/>
                <w:bCs/>
                <w:sz w:val="20"/>
              </w:rPr>
              <w:t>As of 12/31/19, there were 262,932 WRS-covered employees potentially eligible for one or more types of insurance benefit programs (health, life, ICI, supplemental benefits, etc.).</w:t>
            </w:r>
          </w:p>
          <w:p w14:paraId="732AEF1C" w14:textId="77777777" w:rsidR="004436D3" w:rsidRPr="00FD7F69" w:rsidRDefault="004436D3" w:rsidP="00F60C63">
            <w:pPr>
              <w:spacing w:after="160"/>
              <w:rPr>
                <w:rFonts w:cs="Arial"/>
                <w:b/>
                <w:bCs/>
                <w:sz w:val="20"/>
              </w:rPr>
            </w:pPr>
            <w:r w:rsidRPr="00FD7F69">
              <w:rPr>
                <w:rFonts w:cs="Arial"/>
                <w:b/>
                <w:bCs/>
                <w:sz w:val="20"/>
              </w:rPr>
              <w:t xml:space="preserve">In addition, there are approximately 800-900 Non-WRS employers (mostly small employers) who can elect to offer health insurance benefits. We do not currently have the capability to track the number of potentially eligible employees at these Non-WRS employers. </w:t>
            </w:r>
          </w:p>
          <w:p w14:paraId="7DAB545A" w14:textId="77777777" w:rsidR="004436D3" w:rsidRPr="00FD7F69" w:rsidRDefault="004436D3" w:rsidP="00F60C63">
            <w:pPr>
              <w:spacing w:after="160"/>
              <w:rPr>
                <w:rFonts w:cs="Arial"/>
                <w:b/>
                <w:bCs/>
                <w:sz w:val="20"/>
              </w:rPr>
            </w:pPr>
            <w:r w:rsidRPr="00FD7F69">
              <w:rPr>
                <w:rFonts w:cs="Arial"/>
                <w:b/>
                <w:bCs/>
                <w:sz w:val="20"/>
              </w:rPr>
              <w:t xml:space="preserve">Table 1 in the RFP lists the number of participants (subscribers and dependents) currently enrolled in health insurance. </w:t>
            </w:r>
          </w:p>
          <w:p w14:paraId="0C3BA530" w14:textId="77777777" w:rsidR="004436D3" w:rsidRPr="00FD7F69" w:rsidRDefault="004436D3" w:rsidP="00F60C63">
            <w:pPr>
              <w:spacing w:after="160"/>
              <w:rPr>
                <w:rFonts w:cs="Arial"/>
                <w:b/>
                <w:bCs/>
                <w:sz w:val="20"/>
              </w:rPr>
            </w:pPr>
            <w:r w:rsidRPr="00FD7F69">
              <w:rPr>
                <w:rFonts w:cs="Arial"/>
                <w:b/>
                <w:bCs/>
                <w:sz w:val="20"/>
              </w:rPr>
              <w:t xml:space="preserve">Table 2 in the RFP lists the number of participants (again, subscribers and dependents) currently enrolled in the other benefit programs. </w:t>
            </w:r>
          </w:p>
          <w:p w14:paraId="1CC00033" w14:textId="18E72183" w:rsidR="004436D3" w:rsidRPr="00FD7F69" w:rsidRDefault="004436D3" w:rsidP="00F60C63">
            <w:pPr>
              <w:spacing w:after="160"/>
              <w:rPr>
                <w:rFonts w:eastAsia="Arial" w:cs="Arial"/>
                <w:b/>
                <w:bCs/>
                <w:sz w:val="20"/>
              </w:rPr>
            </w:pPr>
            <w:r w:rsidRPr="00FD7F69">
              <w:rPr>
                <w:rFonts w:cs="Arial"/>
                <w:b/>
                <w:bCs/>
                <w:sz w:val="20"/>
              </w:rPr>
              <w:t xml:space="preserve">No, the 110,237 employees currently enrolled in health insurance are not the only employees that would </w:t>
            </w:r>
            <w:r w:rsidRPr="00FD7F69">
              <w:rPr>
                <w:rFonts w:eastAsia="Arial" w:cs="Arial"/>
                <w:b/>
                <w:bCs/>
                <w:sz w:val="20"/>
              </w:rPr>
              <w:t xml:space="preserve">ever potentially log into the new IAS to accept or decline coverage. The total number of employees who might ever log into the new IAS is an unknown value because we don’t currently have the capability to track eligible employees; instead, we can only track those employees who have enrolled. </w:t>
            </w:r>
            <w:r w:rsidRPr="00FD7F69">
              <w:rPr>
                <w:rFonts w:cs="Arial"/>
                <w:b/>
                <w:bCs/>
                <w:sz w:val="20"/>
              </w:rPr>
              <w:t xml:space="preserve">However, we are interested in any capabilities the Proposer’s system </w:t>
            </w:r>
            <w:r w:rsidRPr="00FD7F69">
              <w:rPr>
                <w:rFonts w:cs="Arial"/>
                <w:b/>
                <w:bCs/>
                <w:sz w:val="20"/>
              </w:rPr>
              <w:lastRenderedPageBreak/>
              <w:t xml:space="preserve">may offer to improve our ability to track eligible employees. </w:t>
            </w:r>
          </w:p>
          <w:p w14:paraId="1E77E304" w14:textId="77777777" w:rsidR="004436D3" w:rsidRPr="00FD7F69" w:rsidRDefault="004436D3" w:rsidP="00F60C63">
            <w:pPr>
              <w:spacing w:after="160"/>
              <w:rPr>
                <w:rFonts w:eastAsia="Arial" w:cs="Arial"/>
                <w:b/>
                <w:bCs/>
                <w:sz w:val="20"/>
              </w:rPr>
            </w:pPr>
            <w:r w:rsidRPr="00FD7F69">
              <w:rPr>
                <w:rFonts w:eastAsia="Arial" w:cs="Arial"/>
                <w:b/>
                <w:bCs/>
                <w:sz w:val="20"/>
              </w:rPr>
              <w:t>The true count of eligible employees – those who might ever potentially log into the new IAS – is some subset of the following:</w:t>
            </w:r>
          </w:p>
          <w:p w14:paraId="50C6F680" w14:textId="77777777" w:rsidR="004436D3" w:rsidRPr="00FD7F69" w:rsidRDefault="004436D3" w:rsidP="003C010B">
            <w:pPr>
              <w:pStyle w:val="ListParagraph"/>
              <w:numPr>
                <w:ilvl w:val="0"/>
                <w:numId w:val="26"/>
              </w:numPr>
              <w:spacing w:after="160"/>
              <w:rPr>
                <w:rFonts w:cs="Arial"/>
                <w:b/>
                <w:bCs/>
                <w:sz w:val="20"/>
              </w:rPr>
            </w:pPr>
            <w:r w:rsidRPr="00FD7F69">
              <w:rPr>
                <w:rFonts w:cs="Arial"/>
                <w:b/>
                <w:bCs/>
                <w:sz w:val="20"/>
              </w:rPr>
              <w:t>262,932 currently WRS-covered employees (specifically, the employee count of those employers who participate in one or more benefit programs), PLUS</w:t>
            </w:r>
          </w:p>
          <w:p w14:paraId="70C39F16" w14:textId="213B86AE" w:rsidR="004436D3" w:rsidRPr="00FD7F69" w:rsidRDefault="004436D3" w:rsidP="003C010B">
            <w:pPr>
              <w:pStyle w:val="ListParagraph"/>
              <w:numPr>
                <w:ilvl w:val="0"/>
                <w:numId w:val="26"/>
              </w:numPr>
              <w:spacing w:after="160"/>
              <w:rPr>
                <w:rFonts w:eastAsia="Arial" w:cs="Arial"/>
                <w:b/>
                <w:bCs/>
                <w:sz w:val="20"/>
              </w:rPr>
            </w:pPr>
            <w:r w:rsidRPr="00FD7F69">
              <w:rPr>
                <w:rFonts w:cs="Arial"/>
                <w:b/>
                <w:bCs/>
                <w:sz w:val="20"/>
              </w:rPr>
              <w:t xml:space="preserve">Employees of the 800-900 Non-WRS employers (specifically, the employee count of those employers who participate in the health insurance program). </w:t>
            </w:r>
          </w:p>
        </w:tc>
      </w:tr>
      <w:tr w:rsidR="004436D3" w:rsidRPr="00293BD5" w14:paraId="01D93F52" w14:textId="77777777" w:rsidTr="00AC3150">
        <w:tc>
          <w:tcPr>
            <w:tcW w:w="720" w:type="dxa"/>
            <w:shd w:val="clear" w:color="auto" w:fill="EEECE1" w:themeFill="background2"/>
          </w:tcPr>
          <w:p w14:paraId="70FB11A7" w14:textId="77777777" w:rsidR="004436D3" w:rsidRPr="00293BD5" w:rsidRDefault="004436D3" w:rsidP="00630232">
            <w:pPr>
              <w:spacing w:after="160"/>
              <w:jc w:val="both"/>
              <w:rPr>
                <w:rFonts w:eastAsia="Calibri" w:cs="Arial"/>
                <w:b/>
                <w:bCs/>
                <w:sz w:val="20"/>
              </w:rPr>
            </w:pPr>
            <w:r w:rsidRPr="00293BD5">
              <w:rPr>
                <w:rFonts w:eastAsia="Calibri" w:cs="Arial"/>
                <w:b/>
                <w:bCs/>
                <w:sz w:val="20"/>
              </w:rPr>
              <w:lastRenderedPageBreak/>
              <w:t>Q40</w:t>
            </w:r>
          </w:p>
        </w:tc>
        <w:tc>
          <w:tcPr>
            <w:tcW w:w="1710" w:type="dxa"/>
            <w:shd w:val="clear" w:color="auto" w:fill="EEECE1" w:themeFill="background2"/>
          </w:tcPr>
          <w:p w14:paraId="6AE11D77" w14:textId="77777777" w:rsidR="004436D3" w:rsidRPr="00293BD5" w:rsidRDefault="004436D3" w:rsidP="00630232">
            <w:pPr>
              <w:spacing w:after="160"/>
              <w:jc w:val="both"/>
              <w:rPr>
                <w:rFonts w:eastAsia="Calibri" w:cs="Arial"/>
                <w:b/>
                <w:bCs/>
                <w:sz w:val="20"/>
              </w:rPr>
            </w:pPr>
            <w:r w:rsidRPr="00293BD5">
              <w:rPr>
                <w:rFonts w:eastAsia="Calibri" w:cs="Arial"/>
                <w:b/>
                <w:bCs/>
                <w:sz w:val="20"/>
              </w:rPr>
              <w:t>ET10050,</w:t>
            </w:r>
          </w:p>
        </w:tc>
        <w:tc>
          <w:tcPr>
            <w:tcW w:w="1710" w:type="dxa"/>
            <w:shd w:val="clear" w:color="auto" w:fill="EEECE1" w:themeFill="background2"/>
          </w:tcPr>
          <w:p w14:paraId="59344A5A" w14:textId="77777777" w:rsidR="004436D3" w:rsidRPr="00293BD5" w:rsidRDefault="004436D3" w:rsidP="00630232">
            <w:pPr>
              <w:spacing w:after="160"/>
              <w:jc w:val="both"/>
              <w:rPr>
                <w:rFonts w:eastAsia="Calibri" w:cs="Arial"/>
                <w:b/>
                <w:bCs/>
                <w:sz w:val="20"/>
              </w:rPr>
            </w:pPr>
          </w:p>
        </w:tc>
        <w:tc>
          <w:tcPr>
            <w:tcW w:w="3420" w:type="dxa"/>
            <w:shd w:val="clear" w:color="auto" w:fill="EEECE1" w:themeFill="background2"/>
          </w:tcPr>
          <w:p w14:paraId="46153CBB" w14:textId="77777777" w:rsidR="004436D3" w:rsidRPr="00293BD5" w:rsidRDefault="004436D3" w:rsidP="00630232">
            <w:pPr>
              <w:spacing w:after="160"/>
              <w:rPr>
                <w:rFonts w:eastAsia="Arial" w:cs="Arial"/>
                <w:b/>
                <w:bCs/>
                <w:sz w:val="20"/>
              </w:rPr>
            </w:pPr>
            <w:r w:rsidRPr="00293BD5">
              <w:rPr>
                <w:rFonts w:eastAsia="Arial" w:cs="Arial"/>
                <w:b/>
                <w:bCs/>
                <w:sz w:val="20"/>
              </w:rPr>
              <w:t>If the HR Administrators are contacting the IAS vendor directly, what types of inquiries are expected to be supported for the HR Administrators versus the state entity.</w:t>
            </w:r>
          </w:p>
        </w:tc>
        <w:tc>
          <w:tcPr>
            <w:tcW w:w="5490" w:type="dxa"/>
            <w:shd w:val="clear" w:color="auto" w:fill="EEECE1" w:themeFill="background2"/>
          </w:tcPr>
          <w:p w14:paraId="1AABBE40" w14:textId="59FCB3D4" w:rsidR="004436D3" w:rsidRDefault="004436D3" w:rsidP="00293BD5">
            <w:pPr>
              <w:spacing w:before="120" w:after="120"/>
              <w:rPr>
                <w:rFonts w:cs="Arial"/>
                <w:b/>
                <w:bCs/>
                <w:sz w:val="20"/>
              </w:rPr>
            </w:pPr>
            <w:bookmarkStart w:id="27" w:name="_Hlk36644660"/>
            <w:r w:rsidRPr="00293BD5">
              <w:rPr>
                <w:rFonts w:cs="Arial"/>
                <w:b/>
                <w:bCs/>
                <w:sz w:val="20"/>
              </w:rPr>
              <w:t xml:space="preserve">ETF is interested in </w:t>
            </w:r>
            <w:r>
              <w:rPr>
                <w:rFonts w:cs="Arial"/>
                <w:b/>
                <w:bCs/>
                <w:sz w:val="20"/>
              </w:rPr>
              <w:t xml:space="preserve">any capabilities the Proposer’s system offers to facilitate </w:t>
            </w:r>
            <w:r w:rsidRPr="00293BD5">
              <w:rPr>
                <w:rFonts w:cs="Arial"/>
                <w:b/>
                <w:bCs/>
                <w:sz w:val="20"/>
              </w:rPr>
              <w:t>technical help desk line</w:t>
            </w:r>
            <w:r>
              <w:rPr>
                <w:rFonts w:cs="Arial"/>
                <w:b/>
                <w:bCs/>
                <w:sz w:val="20"/>
              </w:rPr>
              <w:t xml:space="preserve"> functionality</w:t>
            </w:r>
            <w:r w:rsidRPr="00293BD5">
              <w:rPr>
                <w:rFonts w:cs="Arial"/>
                <w:b/>
                <w:bCs/>
                <w:sz w:val="20"/>
              </w:rPr>
              <w:t xml:space="preserve"> (for questions related to access, passwords, login issues, etc.)  for employers and members. </w:t>
            </w:r>
          </w:p>
          <w:p w14:paraId="5FFCF3F4" w14:textId="504CC049" w:rsidR="004436D3" w:rsidRPr="00293BD5" w:rsidRDefault="004436D3" w:rsidP="00293BD5">
            <w:pPr>
              <w:spacing w:before="120" w:after="120"/>
              <w:rPr>
                <w:rFonts w:cs="Arial"/>
                <w:b/>
                <w:bCs/>
                <w:sz w:val="20"/>
              </w:rPr>
            </w:pPr>
            <w:r>
              <w:rPr>
                <w:rFonts w:cs="Arial"/>
                <w:b/>
                <w:bCs/>
                <w:sz w:val="20"/>
              </w:rPr>
              <w:t>At least in the early stages following go-live, we are interested in the Proposer’s capabilities to assist us in providing this support to employers and members. Depending on the features the Proposer’s system provides to facilitate these functions, we may be interested in assuming some or all this support in the long-term.</w:t>
            </w:r>
          </w:p>
          <w:bookmarkEnd w:id="27"/>
          <w:p w14:paraId="37C7AA33" w14:textId="55D8DC56" w:rsidR="004436D3" w:rsidRPr="00293BD5" w:rsidRDefault="004436D3" w:rsidP="00293BD5">
            <w:pPr>
              <w:spacing w:before="120" w:after="120"/>
              <w:rPr>
                <w:rFonts w:cs="Arial"/>
                <w:b/>
                <w:bCs/>
                <w:sz w:val="20"/>
              </w:rPr>
            </w:pPr>
            <w:r w:rsidRPr="00293BD5">
              <w:rPr>
                <w:rFonts w:cs="Arial"/>
                <w:b/>
                <w:bCs/>
                <w:sz w:val="20"/>
              </w:rPr>
              <w:t>A full benefit call center, capable of responding to benefit-related inquiries, is not within the scope of this RFP. However, if the Proposer’s system offers such full benefit call center functionality, please provide details in Appendix 7, Question Q113 and include any associated costs in Appendix 8.</w:t>
            </w:r>
          </w:p>
        </w:tc>
      </w:tr>
      <w:tr w:rsidR="004436D3" w:rsidRPr="00382A25" w14:paraId="2397A7C5" w14:textId="77777777" w:rsidTr="00AC3150">
        <w:tc>
          <w:tcPr>
            <w:tcW w:w="720" w:type="dxa"/>
            <w:shd w:val="clear" w:color="auto" w:fill="DBE5F1" w:themeFill="accent1" w:themeFillTint="33"/>
          </w:tcPr>
          <w:p w14:paraId="065EE9A2" w14:textId="77777777" w:rsidR="004436D3" w:rsidRPr="00382A25" w:rsidRDefault="004436D3" w:rsidP="00630232">
            <w:pPr>
              <w:spacing w:after="160"/>
              <w:jc w:val="both"/>
              <w:rPr>
                <w:rFonts w:eastAsia="Calibri" w:cs="Arial"/>
                <w:b/>
                <w:bCs/>
                <w:sz w:val="20"/>
              </w:rPr>
            </w:pPr>
            <w:bookmarkStart w:id="28" w:name="_Hlk35290166"/>
            <w:r w:rsidRPr="00382A25">
              <w:rPr>
                <w:rFonts w:eastAsia="Calibri" w:cs="Arial"/>
                <w:b/>
                <w:bCs/>
                <w:sz w:val="20"/>
              </w:rPr>
              <w:t>Q41</w:t>
            </w:r>
          </w:p>
        </w:tc>
        <w:tc>
          <w:tcPr>
            <w:tcW w:w="1710" w:type="dxa"/>
            <w:shd w:val="clear" w:color="auto" w:fill="DBE5F1" w:themeFill="accent1" w:themeFillTint="33"/>
          </w:tcPr>
          <w:p w14:paraId="0235B237" w14:textId="77777777" w:rsidR="004436D3" w:rsidRPr="00382A25" w:rsidRDefault="004436D3" w:rsidP="00630232">
            <w:pPr>
              <w:spacing w:after="160"/>
              <w:jc w:val="both"/>
              <w:rPr>
                <w:rFonts w:eastAsia="Calibri" w:cs="Arial"/>
                <w:b/>
                <w:bCs/>
                <w:sz w:val="20"/>
              </w:rPr>
            </w:pPr>
            <w:r w:rsidRPr="00382A25">
              <w:rPr>
                <w:rFonts w:eastAsia="Calibri" w:cs="Arial"/>
                <w:b/>
                <w:bCs/>
                <w:sz w:val="20"/>
              </w:rPr>
              <w:t>ET10050,</w:t>
            </w:r>
          </w:p>
        </w:tc>
        <w:tc>
          <w:tcPr>
            <w:tcW w:w="1710" w:type="dxa"/>
            <w:shd w:val="clear" w:color="auto" w:fill="DBE5F1" w:themeFill="accent1" w:themeFillTint="33"/>
          </w:tcPr>
          <w:p w14:paraId="6102A197" w14:textId="77777777" w:rsidR="004436D3" w:rsidRPr="00382A25" w:rsidRDefault="004436D3" w:rsidP="00630232">
            <w:pPr>
              <w:spacing w:after="160"/>
              <w:jc w:val="both"/>
              <w:rPr>
                <w:rFonts w:eastAsia="Calibri" w:cs="Arial"/>
                <w:b/>
                <w:bCs/>
                <w:sz w:val="20"/>
              </w:rPr>
            </w:pPr>
          </w:p>
        </w:tc>
        <w:tc>
          <w:tcPr>
            <w:tcW w:w="3420" w:type="dxa"/>
            <w:shd w:val="clear" w:color="auto" w:fill="DBE5F1" w:themeFill="accent1" w:themeFillTint="33"/>
          </w:tcPr>
          <w:p w14:paraId="3CFE0297" w14:textId="77777777" w:rsidR="004436D3" w:rsidRPr="00382A25" w:rsidRDefault="004436D3" w:rsidP="00630232">
            <w:pPr>
              <w:spacing w:after="160"/>
              <w:rPr>
                <w:rFonts w:eastAsia="Calibri" w:cs="Arial"/>
                <w:b/>
                <w:bCs/>
                <w:sz w:val="20"/>
              </w:rPr>
            </w:pPr>
            <w:r w:rsidRPr="00382A25">
              <w:rPr>
                <w:rFonts w:eastAsia="Arial" w:cs="Arial"/>
                <w:b/>
                <w:bCs/>
                <w:sz w:val="20"/>
              </w:rPr>
              <w:t>Do all employing groups have the same Annual Enrollment period?</w:t>
            </w:r>
          </w:p>
        </w:tc>
        <w:tc>
          <w:tcPr>
            <w:tcW w:w="5490" w:type="dxa"/>
            <w:shd w:val="clear" w:color="auto" w:fill="DBE5F1" w:themeFill="accent1" w:themeFillTint="33"/>
          </w:tcPr>
          <w:p w14:paraId="77B6318B" w14:textId="2F62BF3F" w:rsidR="004436D3" w:rsidRPr="00382A25" w:rsidRDefault="004436D3" w:rsidP="00630232">
            <w:pPr>
              <w:spacing w:after="160"/>
              <w:rPr>
                <w:rFonts w:cs="Arial"/>
                <w:b/>
                <w:bCs/>
                <w:sz w:val="20"/>
              </w:rPr>
            </w:pPr>
            <w:r>
              <w:rPr>
                <w:rFonts w:cs="Arial"/>
                <w:b/>
                <w:bCs/>
                <w:sz w:val="20"/>
              </w:rPr>
              <w:t>Yes, all employing groups have the same Annual Enrollment period.</w:t>
            </w:r>
          </w:p>
        </w:tc>
      </w:tr>
      <w:bookmarkEnd w:id="28"/>
      <w:tr w:rsidR="004436D3" w:rsidRPr="003C556D" w14:paraId="70930F3C" w14:textId="77777777" w:rsidTr="00AC3150">
        <w:tc>
          <w:tcPr>
            <w:tcW w:w="720" w:type="dxa"/>
            <w:shd w:val="clear" w:color="auto" w:fill="EEECE1" w:themeFill="background2"/>
          </w:tcPr>
          <w:p w14:paraId="0C0BF73A" w14:textId="77777777" w:rsidR="004436D3" w:rsidRPr="003C556D" w:rsidRDefault="004436D3" w:rsidP="00630232">
            <w:pPr>
              <w:spacing w:after="160"/>
              <w:jc w:val="both"/>
              <w:rPr>
                <w:rFonts w:eastAsia="Calibri" w:cs="Arial"/>
                <w:b/>
                <w:bCs/>
                <w:sz w:val="20"/>
              </w:rPr>
            </w:pPr>
            <w:r w:rsidRPr="003C556D">
              <w:rPr>
                <w:rFonts w:eastAsia="Calibri" w:cs="Arial"/>
                <w:b/>
                <w:bCs/>
                <w:sz w:val="20"/>
              </w:rPr>
              <w:lastRenderedPageBreak/>
              <w:t>Q42</w:t>
            </w:r>
          </w:p>
        </w:tc>
        <w:tc>
          <w:tcPr>
            <w:tcW w:w="1710" w:type="dxa"/>
            <w:shd w:val="clear" w:color="auto" w:fill="EEECE1" w:themeFill="background2"/>
          </w:tcPr>
          <w:p w14:paraId="42182A90" w14:textId="77777777" w:rsidR="004436D3" w:rsidRPr="003C556D" w:rsidRDefault="004436D3" w:rsidP="00630232">
            <w:pPr>
              <w:spacing w:after="160"/>
              <w:jc w:val="both"/>
              <w:rPr>
                <w:rFonts w:eastAsia="Calibri" w:cs="Arial"/>
                <w:b/>
                <w:bCs/>
                <w:sz w:val="20"/>
              </w:rPr>
            </w:pPr>
            <w:r w:rsidRPr="003C556D">
              <w:rPr>
                <w:rFonts w:eastAsia="Calibri" w:cs="Arial"/>
                <w:b/>
                <w:bCs/>
                <w:sz w:val="20"/>
              </w:rPr>
              <w:t>ET10050,</w:t>
            </w:r>
          </w:p>
        </w:tc>
        <w:tc>
          <w:tcPr>
            <w:tcW w:w="1710" w:type="dxa"/>
            <w:shd w:val="clear" w:color="auto" w:fill="EEECE1" w:themeFill="background2"/>
          </w:tcPr>
          <w:p w14:paraId="34259C85" w14:textId="77777777" w:rsidR="004436D3" w:rsidRPr="003C556D" w:rsidRDefault="004436D3" w:rsidP="00630232">
            <w:pPr>
              <w:spacing w:after="160"/>
              <w:jc w:val="both"/>
              <w:rPr>
                <w:rFonts w:eastAsia="Calibri" w:cs="Arial"/>
                <w:b/>
                <w:bCs/>
                <w:sz w:val="20"/>
              </w:rPr>
            </w:pPr>
          </w:p>
        </w:tc>
        <w:tc>
          <w:tcPr>
            <w:tcW w:w="3420" w:type="dxa"/>
            <w:shd w:val="clear" w:color="auto" w:fill="EEECE1" w:themeFill="background2"/>
          </w:tcPr>
          <w:p w14:paraId="21F27BBA" w14:textId="77777777" w:rsidR="004436D3" w:rsidRPr="003C556D" w:rsidRDefault="004436D3" w:rsidP="00630232">
            <w:pPr>
              <w:spacing w:after="160"/>
              <w:rPr>
                <w:rFonts w:eastAsia="Arial" w:cs="Arial"/>
                <w:b/>
                <w:bCs/>
                <w:sz w:val="20"/>
              </w:rPr>
            </w:pPr>
            <w:r w:rsidRPr="003C556D">
              <w:rPr>
                <w:rFonts w:eastAsia="Arial" w:cs="Arial"/>
                <w:b/>
                <w:bCs/>
                <w:sz w:val="20"/>
              </w:rPr>
              <w:t>Are employer groups allowed to join or drop from the State plan(s) throughout the year? If so, how often does this occur?</w:t>
            </w:r>
          </w:p>
        </w:tc>
        <w:tc>
          <w:tcPr>
            <w:tcW w:w="5490" w:type="dxa"/>
            <w:shd w:val="clear" w:color="auto" w:fill="EEECE1" w:themeFill="background2"/>
          </w:tcPr>
          <w:p w14:paraId="3AF4AEC2" w14:textId="77777777" w:rsidR="004436D3" w:rsidRPr="003C556D" w:rsidRDefault="004436D3" w:rsidP="00630232">
            <w:pPr>
              <w:spacing w:after="160"/>
              <w:rPr>
                <w:b/>
                <w:bCs/>
                <w:color w:val="000000"/>
                <w:sz w:val="20"/>
              </w:rPr>
            </w:pPr>
            <w:r w:rsidRPr="003C556D">
              <w:rPr>
                <w:b/>
                <w:bCs/>
                <w:color w:val="000000"/>
                <w:sz w:val="20"/>
              </w:rPr>
              <w:t>For health insurance:</w:t>
            </w:r>
          </w:p>
          <w:p w14:paraId="2A395A28" w14:textId="12468A3D" w:rsidR="004436D3" w:rsidRPr="003C556D" w:rsidRDefault="004436D3" w:rsidP="00630232">
            <w:pPr>
              <w:pStyle w:val="ListParagraph"/>
              <w:numPr>
                <w:ilvl w:val="0"/>
                <w:numId w:val="20"/>
              </w:numPr>
              <w:spacing w:after="160"/>
              <w:rPr>
                <w:rFonts w:ascii="Calibri" w:hAnsi="Calibri"/>
                <w:b/>
                <w:bCs/>
                <w:color w:val="000000"/>
                <w:sz w:val="20"/>
              </w:rPr>
            </w:pPr>
            <w:r w:rsidRPr="003C556D">
              <w:rPr>
                <w:b/>
                <w:bCs/>
                <w:color w:val="000000"/>
                <w:sz w:val="20"/>
              </w:rPr>
              <w:t>Wisconsin Public Employers (“local employers,” i.e., cities, counties, school districts, etc.) have a quarterly opportunity to join the State’s program and an annual opportunity (on 12/31) to drop participation.</w:t>
            </w:r>
          </w:p>
          <w:p w14:paraId="37321237" w14:textId="144E364B" w:rsidR="004436D3" w:rsidRPr="003C556D" w:rsidRDefault="004436D3" w:rsidP="00D56F85">
            <w:pPr>
              <w:pStyle w:val="ListParagraph"/>
              <w:spacing w:after="160"/>
              <w:rPr>
                <w:b/>
                <w:bCs/>
                <w:color w:val="000000"/>
                <w:sz w:val="20"/>
              </w:rPr>
            </w:pPr>
          </w:p>
          <w:p w14:paraId="1785A2CE" w14:textId="001A55AC" w:rsidR="004436D3" w:rsidRPr="003C556D" w:rsidRDefault="004436D3" w:rsidP="00D56F85">
            <w:pPr>
              <w:pStyle w:val="ListParagraph"/>
              <w:spacing w:after="160"/>
              <w:rPr>
                <w:rFonts w:ascii="Calibri" w:hAnsi="Calibri"/>
                <w:b/>
                <w:bCs/>
                <w:color w:val="000000"/>
                <w:sz w:val="20"/>
              </w:rPr>
            </w:pPr>
            <w:r w:rsidRPr="003C556D">
              <w:rPr>
                <w:b/>
                <w:bCs/>
                <w:color w:val="000000"/>
                <w:sz w:val="20"/>
              </w:rPr>
              <w:t>The number of locals that join or drop the State plan varies from year to year, but on average, we see 5-7 employers join the program each year, while another 3-4 employers drop participation.</w:t>
            </w:r>
          </w:p>
          <w:p w14:paraId="1FB85D33" w14:textId="20DA9E78" w:rsidR="004436D3" w:rsidRPr="003C556D" w:rsidRDefault="004436D3" w:rsidP="00630232">
            <w:pPr>
              <w:pStyle w:val="ListParagraph"/>
              <w:numPr>
                <w:ilvl w:val="0"/>
                <w:numId w:val="20"/>
              </w:numPr>
              <w:spacing w:after="160"/>
              <w:rPr>
                <w:rFonts w:ascii="Calibri" w:hAnsi="Calibri"/>
                <w:b/>
                <w:bCs/>
                <w:color w:val="000000"/>
                <w:sz w:val="20"/>
              </w:rPr>
            </w:pPr>
            <w:r w:rsidRPr="003C556D">
              <w:rPr>
                <w:b/>
                <w:bCs/>
                <w:color w:val="000000"/>
                <w:sz w:val="20"/>
              </w:rPr>
              <w:t xml:space="preserve">New State employer groups only enter if/when a new State agency is created. Conversely, State employer groups only drop if/when a State agency is dissolved. Such situations are uncommon, but they do periodically happen.  </w:t>
            </w:r>
          </w:p>
          <w:p w14:paraId="655F77E2" w14:textId="4B33F561" w:rsidR="004436D3" w:rsidRPr="003C556D" w:rsidRDefault="004436D3" w:rsidP="00D56F85">
            <w:pPr>
              <w:spacing w:after="160"/>
              <w:rPr>
                <w:b/>
                <w:bCs/>
                <w:color w:val="000000"/>
                <w:sz w:val="20"/>
              </w:rPr>
            </w:pPr>
            <w:r w:rsidRPr="003C556D">
              <w:rPr>
                <w:b/>
                <w:bCs/>
                <w:color w:val="000000"/>
                <w:sz w:val="20"/>
              </w:rPr>
              <w:t>For supplemental benefits:</w:t>
            </w:r>
          </w:p>
          <w:p w14:paraId="7EDC3980" w14:textId="2361B7BB" w:rsidR="004436D3" w:rsidRPr="003C556D" w:rsidRDefault="004436D3" w:rsidP="0033729A">
            <w:pPr>
              <w:pStyle w:val="ListParagraph"/>
              <w:numPr>
                <w:ilvl w:val="0"/>
                <w:numId w:val="20"/>
              </w:numPr>
              <w:spacing w:after="160"/>
              <w:rPr>
                <w:b/>
                <w:bCs/>
                <w:color w:val="000000"/>
                <w:sz w:val="20"/>
              </w:rPr>
            </w:pPr>
            <w:r w:rsidRPr="003C556D">
              <w:rPr>
                <w:b/>
                <w:bCs/>
                <w:color w:val="000000"/>
                <w:sz w:val="20"/>
              </w:rPr>
              <w:t>Local employers can only join or drop supplemental plan participation during annual open enrollment.</w:t>
            </w:r>
          </w:p>
          <w:p w14:paraId="76D256CC" w14:textId="7E58D674" w:rsidR="004436D3" w:rsidRPr="003C556D" w:rsidRDefault="004436D3" w:rsidP="0033729A">
            <w:pPr>
              <w:pStyle w:val="ListParagraph"/>
              <w:spacing w:after="160"/>
              <w:rPr>
                <w:b/>
                <w:bCs/>
                <w:color w:val="000000"/>
                <w:sz w:val="20"/>
              </w:rPr>
            </w:pPr>
          </w:p>
          <w:p w14:paraId="59276FC5" w14:textId="740E30C7" w:rsidR="004436D3" w:rsidRPr="003C556D" w:rsidRDefault="004436D3" w:rsidP="0033729A">
            <w:pPr>
              <w:pStyle w:val="ListParagraph"/>
              <w:spacing w:after="160"/>
              <w:rPr>
                <w:b/>
                <w:bCs/>
                <w:color w:val="000000"/>
                <w:sz w:val="20"/>
              </w:rPr>
            </w:pPr>
            <w:r w:rsidRPr="003C556D">
              <w:rPr>
                <w:b/>
                <w:bCs/>
                <w:color w:val="000000"/>
                <w:sz w:val="20"/>
              </w:rPr>
              <w:t>Supplemental plan participation is a new option for local employers, so we don’t yet have data on expected participation changes.</w:t>
            </w:r>
          </w:p>
          <w:p w14:paraId="3072FDBE" w14:textId="77777777" w:rsidR="004436D3" w:rsidRPr="003C556D" w:rsidRDefault="004436D3" w:rsidP="0033729A">
            <w:pPr>
              <w:pStyle w:val="ListParagraph"/>
              <w:spacing w:after="160"/>
              <w:rPr>
                <w:b/>
                <w:bCs/>
                <w:color w:val="000000"/>
                <w:sz w:val="20"/>
              </w:rPr>
            </w:pPr>
          </w:p>
          <w:p w14:paraId="664F60AB" w14:textId="77777777" w:rsidR="004436D3" w:rsidRPr="003C556D" w:rsidRDefault="004436D3" w:rsidP="0033729A">
            <w:pPr>
              <w:pStyle w:val="ListParagraph"/>
              <w:spacing w:after="160"/>
              <w:rPr>
                <w:b/>
                <w:bCs/>
                <w:color w:val="000000"/>
                <w:sz w:val="20"/>
              </w:rPr>
            </w:pPr>
            <w:r w:rsidRPr="003C556D">
              <w:rPr>
                <w:b/>
                <w:bCs/>
                <w:color w:val="000000"/>
                <w:sz w:val="20"/>
              </w:rPr>
              <w:t xml:space="preserve">Supplemental dental insurance was a new offering for local employers in 2020, and 66 employers enrolled. The first drop period won’t occur until Fall 2020. </w:t>
            </w:r>
          </w:p>
          <w:p w14:paraId="3D39F9B2" w14:textId="77777777" w:rsidR="004436D3" w:rsidRPr="003C556D" w:rsidRDefault="004436D3" w:rsidP="0033729A">
            <w:pPr>
              <w:pStyle w:val="ListParagraph"/>
              <w:spacing w:after="160"/>
              <w:rPr>
                <w:b/>
                <w:bCs/>
                <w:color w:val="000000"/>
                <w:sz w:val="20"/>
              </w:rPr>
            </w:pPr>
          </w:p>
          <w:p w14:paraId="31281435" w14:textId="6FA4570C" w:rsidR="004436D3" w:rsidRPr="003C556D" w:rsidRDefault="004436D3" w:rsidP="0033729A">
            <w:pPr>
              <w:pStyle w:val="ListParagraph"/>
              <w:spacing w:after="160"/>
              <w:rPr>
                <w:b/>
                <w:bCs/>
                <w:color w:val="000000"/>
                <w:sz w:val="20"/>
              </w:rPr>
            </w:pPr>
            <w:r w:rsidRPr="003C556D">
              <w:rPr>
                <w:b/>
                <w:bCs/>
                <w:color w:val="000000"/>
                <w:sz w:val="20"/>
              </w:rPr>
              <w:t xml:space="preserve">In 2021, we will offer the supplemental accident plan to local employers for the first time.  </w:t>
            </w:r>
          </w:p>
          <w:p w14:paraId="0EAC5163" w14:textId="7984D6C9" w:rsidR="004436D3" w:rsidRPr="003C556D" w:rsidRDefault="004436D3" w:rsidP="005F7A77">
            <w:pPr>
              <w:pStyle w:val="ListParagraph"/>
              <w:numPr>
                <w:ilvl w:val="0"/>
                <w:numId w:val="20"/>
              </w:numPr>
              <w:spacing w:after="160"/>
              <w:rPr>
                <w:b/>
                <w:bCs/>
                <w:color w:val="000000"/>
                <w:sz w:val="20"/>
              </w:rPr>
            </w:pPr>
            <w:r w:rsidRPr="003C556D">
              <w:rPr>
                <w:b/>
                <w:bCs/>
                <w:color w:val="000000"/>
                <w:sz w:val="20"/>
              </w:rPr>
              <w:t xml:space="preserve">Only two (2) state employers have the option to join and/or drop supplemental benefit coverage. For all other State employers, </w:t>
            </w:r>
            <w:r w:rsidRPr="003C556D">
              <w:rPr>
                <w:b/>
                <w:bCs/>
                <w:color w:val="000000"/>
                <w:sz w:val="20"/>
              </w:rPr>
              <w:lastRenderedPageBreak/>
              <w:t xml:space="preserve">participation in supplemental benefit programs is automatic and required. </w:t>
            </w:r>
          </w:p>
          <w:p w14:paraId="306C3560" w14:textId="6D563B1F" w:rsidR="004436D3" w:rsidRPr="003C556D" w:rsidRDefault="004436D3" w:rsidP="005F7A77">
            <w:pPr>
              <w:spacing w:after="160"/>
              <w:rPr>
                <w:b/>
                <w:bCs/>
                <w:color w:val="000000"/>
                <w:sz w:val="20"/>
              </w:rPr>
            </w:pPr>
            <w:r w:rsidRPr="003C556D">
              <w:rPr>
                <w:b/>
                <w:bCs/>
                <w:color w:val="000000"/>
                <w:sz w:val="20"/>
              </w:rPr>
              <w:t>For life and ICI:</w:t>
            </w:r>
          </w:p>
          <w:p w14:paraId="20270688" w14:textId="38270BAB" w:rsidR="004436D3" w:rsidRPr="003C556D" w:rsidRDefault="004436D3" w:rsidP="003C556D">
            <w:pPr>
              <w:pStyle w:val="ListParagraph"/>
              <w:numPr>
                <w:ilvl w:val="0"/>
                <w:numId w:val="20"/>
              </w:numPr>
              <w:spacing w:after="160"/>
              <w:rPr>
                <w:b/>
                <w:bCs/>
                <w:color w:val="000000"/>
                <w:sz w:val="20"/>
              </w:rPr>
            </w:pPr>
            <w:r w:rsidRPr="003C556D">
              <w:rPr>
                <w:b/>
                <w:bCs/>
                <w:color w:val="000000"/>
                <w:sz w:val="20"/>
              </w:rPr>
              <w:t>All state employers are required to participate in these programs. There are no opportunities to drop participation.</w:t>
            </w:r>
          </w:p>
          <w:p w14:paraId="17D880D3" w14:textId="77777777" w:rsidR="004436D3" w:rsidRPr="003C556D" w:rsidRDefault="004436D3" w:rsidP="003C556D">
            <w:pPr>
              <w:pStyle w:val="ListParagraph"/>
              <w:numPr>
                <w:ilvl w:val="0"/>
                <w:numId w:val="20"/>
              </w:numPr>
              <w:spacing w:after="160"/>
              <w:rPr>
                <w:rFonts w:cs="Arial"/>
                <w:b/>
                <w:bCs/>
                <w:sz w:val="20"/>
              </w:rPr>
            </w:pPr>
            <w:r w:rsidRPr="003C556D">
              <w:rPr>
                <w:b/>
                <w:bCs/>
                <w:color w:val="000000"/>
                <w:sz w:val="20"/>
              </w:rPr>
              <w:t>Local employers can join these programs at the first of any month and can participation at the end of any month.</w:t>
            </w:r>
          </w:p>
          <w:p w14:paraId="282992F7" w14:textId="77777777" w:rsidR="004436D3" w:rsidRPr="003C556D" w:rsidRDefault="004436D3" w:rsidP="003C556D">
            <w:pPr>
              <w:pStyle w:val="ListParagraph"/>
              <w:spacing w:after="160"/>
              <w:rPr>
                <w:b/>
                <w:bCs/>
                <w:color w:val="000000"/>
                <w:sz w:val="20"/>
              </w:rPr>
            </w:pPr>
          </w:p>
          <w:p w14:paraId="5DF7DE94" w14:textId="4B17931E" w:rsidR="004436D3" w:rsidRPr="003C556D" w:rsidRDefault="004436D3" w:rsidP="003C556D">
            <w:pPr>
              <w:pStyle w:val="ListParagraph"/>
              <w:spacing w:after="160"/>
              <w:rPr>
                <w:rFonts w:ascii="Calibri" w:hAnsi="Calibri"/>
                <w:b/>
                <w:bCs/>
                <w:color w:val="000000"/>
                <w:sz w:val="20"/>
              </w:rPr>
            </w:pPr>
            <w:r w:rsidRPr="003C556D">
              <w:rPr>
                <w:b/>
                <w:bCs/>
                <w:color w:val="000000"/>
                <w:sz w:val="20"/>
              </w:rPr>
              <w:t>The number of locals that join or drop these benefits varies from month to month and year to year, but on average, we see 4-5 employers join one of these programs during a given year, while another 2-3 employers drop participation.</w:t>
            </w:r>
          </w:p>
          <w:p w14:paraId="6E814723" w14:textId="6AA0715B" w:rsidR="004436D3" w:rsidRPr="003C556D" w:rsidRDefault="004436D3" w:rsidP="003C556D">
            <w:pPr>
              <w:pStyle w:val="ListParagraph"/>
              <w:spacing w:after="160"/>
              <w:rPr>
                <w:rFonts w:cs="Arial"/>
                <w:b/>
                <w:bCs/>
                <w:sz w:val="20"/>
              </w:rPr>
            </w:pPr>
          </w:p>
        </w:tc>
      </w:tr>
      <w:tr w:rsidR="004436D3" w:rsidRPr="00F5251C" w14:paraId="1E783B71" w14:textId="77777777" w:rsidTr="00AC3150">
        <w:tc>
          <w:tcPr>
            <w:tcW w:w="720" w:type="dxa"/>
            <w:shd w:val="clear" w:color="auto" w:fill="DBE5F1" w:themeFill="accent1" w:themeFillTint="33"/>
          </w:tcPr>
          <w:p w14:paraId="54BC6502" w14:textId="77777777" w:rsidR="004436D3" w:rsidRPr="00F5251C" w:rsidRDefault="004436D3" w:rsidP="00630232">
            <w:pPr>
              <w:spacing w:after="160"/>
              <w:jc w:val="both"/>
              <w:rPr>
                <w:rFonts w:eastAsia="Calibri" w:cs="Arial"/>
                <w:b/>
                <w:bCs/>
                <w:sz w:val="20"/>
              </w:rPr>
            </w:pPr>
            <w:r w:rsidRPr="00F5251C">
              <w:rPr>
                <w:rFonts w:eastAsia="Calibri" w:cs="Arial"/>
                <w:b/>
                <w:bCs/>
                <w:sz w:val="20"/>
              </w:rPr>
              <w:lastRenderedPageBreak/>
              <w:t>Q43</w:t>
            </w:r>
          </w:p>
        </w:tc>
        <w:tc>
          <w:tcPr>
            <w:tcW w:w="1710" w:type="dxa"/>
            <w:shd w:val="clear" w:color="auto" w:fill="DBE5F1" w:themeFill="accent1" w:themeFillTint="33"/>
          </w:tcPr>
          <w:p w14:paraId="5A7BF370" w14:textId="77777777" w:rsidR="004436D3" w:rsidRPr="00F5251C" w:rsidRDefault="004436D3" w:rsidP="00630232">
            <w:pPr>
              <w:spacing w:after="160"/>
              <w:jc w:val="both"/>
              <w:rPr>
                <w:rFonts w:eastAsia="Calibri" w:cs="Arial"/>
                <w:b/>
                <w:bCs/>
                <w:sz w:val="20"/>
              </w:rPr>
            </w:pPr>
            <w:r w:rsidRPr="00F5251C">
              <w:rPr>
                <w:rFonts w:eastAsia="Calibri" w:cs="Arial"/>
                <w:b/>
                <w:bCs/>
                <w:sz w:val="20"/>
              </w:rPr>
              <w:t>ET10050,</w:t>
            </w:r>
          </w:p>
        </w:tc>
        <w:tc>
          <w:tcPr>
            <w:tcW w:w="1710" w:type="dxa"/>
            <w:shd w:val="clear" w:color="auto" w:fill="DBE5F1" w:themeFill="accent1" w:themeFillTint="33"/>
          </w:tcPr>
          <w:p w14:paraId="6036F73D" w14:textId="77777777" w:rsidR="004436D3" w:rsidRPr="00F5251C" w:rsidRDefault="004436D3" w:rsidP="00630232">
            <w:pPr>
              <w:spacing w:after="160"/>
              <w:jc w:val="both"/>
              <w:rPr>
                <w:rFonts w:eastAsia="Calibri" w:cs="Arial"/>
                <w:b/>
                <w:bCs/>
                <w:sz w:val="20"/>
              </w:rPr>
            </w:pPr>
          </w:p>
        </w:tc>
        <w:tc>
          <w:tcPr>
            <w:tcW w:w="3420" w:type="dxa"/>
            <w:shd w:val="clear" w:color="auto" w:fill="DBE5F1" w:themeFill="accent1" w:themeFillTint="33"/>
          </w:tcPr>
          <w:p w14:paraId="1E6944DD" w14:textId="3189363D" w:rsidR="004436D3" w:rsidRPr="00F5251C" w:rsidRDefault="004436D3" w:rsidP="00630232">
            <w:pPr>
              <w:spacing w:after="160"/>
              <w:rPr>
                <w:rFonts w:eastAsia="Calibri" w:cs="Arial"/>
                <w:b/>
                <w:bCs/>
                <w:sz w:val="20"/>
              </w:rPr>
            </w:pPr>
            <w:r w:rsidRPr="00F5251C">
              <w:rPr>
                <w:rFonts w:eastAsia="Calibri" w:cs="Arial"/>
                <w:b/>
                <w:bCs/>
                <w:sz w:val="20"/>
              </w:rPr>
              <w:t>How many COBRA subscribers?</w:t>
            </w:r>
          </w:p>
        </w:tc>
        <w:tc>
          <w:tcPr>
            <w:tcW w:w="5490" w:type="dxa"/>
            <w:shd w:val="clear" w:color="auto" w:fill="DBE5F1" w:themeFill="accent1" w:themeFillTint="33"/>
          </w:tcPr>
          <w:p w14:paraId="47839858" w14:textId="71403CB0" w:rsidR="004436D3" w:rsidRPr="00F5251C" w:rsidRDefault="004436D3" w:rsidP="00630232">
            <w:pPr>
              <w:spacing w:after="160"/>
              <w:rPr>
                <w:rFonts w:cs="Arial"/>
                <w:b/>
                <w:bCs/>
                <w:sz w:val="20"/>
              </w:rPr>
            </w:pPr>
            <w:r>
              <w:rPr>
                <w:rFonts w:cs="Arial"/>
                <w:b/>
                <w:bCs/>
                <w:sz w:val="20"/>
              </w:rPr>
              <w:t>Currently, there are 209 COBRA subscribers, although this number is fluid and can vary from month to month.</w:t>
            </w:r>
          </w:p>
        </w:tc>
      </w:tr>
      <w:tr w:rsidR="004436D3" w:rsidRPr="00F5251C" w14:paraId="21B0D855" w14:textId="77777777" w:rsidTr="00AC3150">
        <w:tc>
          <w:tcPr>
            <w:tcW w:w="720" w:type="dxa"/>
            <w:shd w:val="clear" w:color="auto" w:fill="EEECE1" w:themeFill="background2"/>
          </w:tcPr>
          <w:p w14:paraId="058D1EDE" w14:textId="77777777" w:rsidR="004436D3" w:rsidRPr="00F5251C" w:rsidRDefault="004436D3" w:rsidP="00630232">
            <w:pPr>
              <w:spacing w:after="160"/>
              <w:jc w:val="both"/>
              <w:rPr>
                <w:rFonts w:eastAsia="Calibri" w:cs="Arial"/>
                <w:b/>
                <w:bCs/>
                <w:sz w:val="20"/>
              </w:rPr>
            </w:pPr>
            <w:r w:rsidRPr="00F5251C">
              <w:rPr>
                <w:rFonts w:eastAsia="Calibri" w:cs="Arial"/>
                <w:b/>
                <w:bCs/>
                <w:sz w:val="20"/>
              </w:rPr>
              <w:t>Q44</w:t>
            </w:r>
          </w:p>
        </w:tc>
        <w:tc>
          <w:tcPr>
            <w:tcW w:w="1710" w:type="dxa"/>
            <w:shd w:val="clear" w:color="auto" w:fill="EEECE1" w:themeFill="background2"/>
          </w:tcPr>
          <w:p w14:paraId="11E5E2B3" w14:textId="77777777" w:rsidR="004436D3" w:rsidRPr="00F5251C" w:rsidRDefault="004436D3" w:rsidP="00630232">
            <w:pPr>
              <w:spacing w:after="160"/>
              <w:jc w:val="both"/>
              <w:rPr>
                <w:rFonts w:eastAsia="Calibri" w:cs="Arial"/>
                <w:b/>
                <w:bCs/>
                <w:sz w:val="20"/>
              </w:rPr>
            </w:pPr>
            <w:r w:rsidRPr="00F5251C">
              <w:rPr>
                <w:rFonts w:eastAsia="Calibri" w:cs="Arial"/>
                <w:b/>
                <w:bCs/>
                <w:sz w:val="20"/>
              </w:rPr>
              <w:t>ET10050,</w:t>
            </w:r>
          </w:p>
        </w:tc>
        <w:tc>
          <w:tcPr>
            <w:tcW w:w="1710" w:type="dxa"/>
            <w:shd w:val="clear" w:color="auto" w:fill="EEECE1" w:themeFill="background2"/>
          </w:tcPr>
          <w:p w14:paraId="3B369B69" w14:textId="77777777" w:rsidR="004436D3" w:rsidRPr="00F5251C" w:rsidRDefault="004436D3" w:rsidP="00630232">
            <w:pPr>
              <w:spacing w:after="160"/>
              <w:jc w:val="both"/>
              <w:rPr>
                <w:rFonts w:eastAsia="Calibri" w:cs="Arial"/>
                <w:b/>
                <w:bCs/>
                <w:sz w:val="20"/>
              </w:rPr>
            </w:pPr>
          </w:p>
        </w:tc>
        <w:tc>
          <w:tcPr>
            <w:tcW w:w="3420" w:type="dxa"/>
            <w:shd w:val="clear" w:color="auto" w:fill="EEECE1" w:themeFill="background2"/>
          </w:tcPr>
          <w:p w14:paraId="38F4CF54" w14:textId="77777777" w:rsidR="004436D3" w:rsidRPr="00F5251C" w:rsidRDefault="004436D3" w:rsidP="00630232">
            <w:pPr>
              <w:spacing w:after="160"/>
              <w:rPr>
                <w:rFonts w:eastAsia="Calibri" w:cs="Arial"/>
                <w:b/>
                <w:bCs/>
                <w:sz w:val="20"/>
              </w:rPr>
            </w:pPr>
            <w:r w:rsidRPr="00F5251C">
              <w:rPr>
                <w:rFonts w:eastAsia="Calibri" w:cs="Arial"/>
                <w:b/>
                <w:bCs/>
                <w:sz w:val="20"/>
              </w:rPr>
              <w:t>How many subscribers are on Direct Bill?</w:t>
            </w:r>
          </w:p>
        </w:tc>
        <w:tc>
          <w:tcPr>
            <w:tcW w:w="5490" w:type="dxa"/>
            <w:shd w:val="clear" w:color="auto" w:fill="EEECE1" w:themeFill="background2"/>
          </w:tcPr>
          <w:p w14:paraId="22C2AE99" w14:textId="1783620F" w:rsidR="004436D3" w:rsidRPr="00F5251C" w:rsidRDefault="004436D3" w:rsidP="00630232">
            <w:pPr>
              <w:spacing w:after="160"/>
              <w:rPr>
                <w:rFonts w:cs="Arial"/>
                <w:b/>
                <w:bCs/>
                <w:sz w:val="20"/>
              </w:rPr>
            </w:pPr>
            <w:r>
              <w:rPr>
                <w:rFonts w:cs="Arial"/>
                <w:b/>
                <w:bCs/>
                <w:sz w:val="20"/>
              </w:rPr>
              <w:t>Currently, there are 2105 subscribers on direct billing, although this number is fluid and can vary from month to month.</w:t>
            </w:r>
          </w:p>
        </w:tc>
      </w:tr>
      <w:tr w:rsidR="004436D3" w:rsidRPr="005F3049" w14:paraId="7FFFFB55" w14:textId="77777777" w:rsidTr="00AC3150">
        <w:tc>
          <w:tcPr>
            <w:tcW w:w="720" w:type="dxa"/>
            <w:shd w:val="clear" w:color="auto" w:fill="DBE5F1" w:themeFill="accent1" w:themeFillTint="33"/>
          </w:tcPr>
          <w:p w14:paraId="186809ED" w14:textId="77777777" w:rsidR="004436D3" w:rsidRPr="005F3049" w:rsidRDefault="004436D3" w:rsidP="00630232">
            <w:pPr>
              <w:spacing w:after="160"/>
              <w:jc w:val="both"/>
              <w:rPr>
                <w:rFonts w:eastAsia="Calibri" w:cs="Arial"/>
                <w:b/>
                <w:bCs/>
                <w:sz w:val="20"/>
              </w:rPr>
            </w:pPr>
            <w:r w:rsidRPr="005F3049">
              <w:rPr>
                <w:rFonts w:eastAsia="Calibri" w:cs="Arial"/>
                <w:b/>
                <w:bCs/>
                <w:sz w:val="20"/>
              </w:rPr>
              <w:t>Q45</w:t>
            </w:r>
          </w:p>
        </w:tc>
        <w:tc>
          <w:tcPr>
            <w:tcW w:w="1710" w:type="dxa"/>
            <w:shd w:val="clear" w:color="auto" w:fill="DBE5F1" w:themeFill="accent1" w:themeFillTint="33"/>
          </w:tcPr>
          <w:p w14:paraId="6A5182CA" w14:textId="77777777" w:rsidR="004436D3" w:rsidRPr="005F3049" w:rsidRDefault="004436D3" w:rsidP="00630232">
            <w:pPr>
              <w:spacing w:after="160"/>
              <w:jc w:val="both"/>
              <w:rPr>
                <w:rFonts w:eastAsia="Calibri" w:cs="Arial"/>
                <w:b/>
                <w:bCs/>
                <w:sz w:val="20"/>
              </w:rPr>
            </w:pPr>
            <w:r w:rsidRPr="005F3049">
              <w:rPr>
                <w:rFonts w:eastAsia="Calibri" w:cs="Arial"/>
                <w:b/>
                <w:bCs/>
                <w:sz w:val="20"/>
              </w:rPr>
              <w:t>ET10050,</w:t>
            </w:r>
          </w:p>
        </w:tc>
        <w:tc>
          <w:tcPr>
            <w:tcW w:w="1710" w:type="dxa"/>
            <w:shd w:val="clear" w:color="auto" w:fill="DBE5F1" w:themeFill="accent1" w:themeFillTint="33"/>
          </w:tcPr>
          <w:p w14:paraId="54137A57" w14:textId="77777777" w:rsidR="004436D3" w:rsidRPr="005F3049" w:rsidRDefault="004436D3" w:rsidP="00630232">
            <w:pPr>
              <w:spacing w:after="160"/>
              <w:jc w:val="both"/>
              <w:rPr>
                <w:rFonts w:eastAsia="Calibri" w:cs="Arial"/>
                <w:b/>
                <w:bCs/>
                <w:sz w:val="20"/>
              </w:rPr>
            </w:pPr>
          </w:p>
        </w:tc>
        <w:tc>
          <w:tcPr>
            <w:tcW w:w="3420" w:type="dxa"/>
            <w:shd w:val="clear" w:color="auto" w:fill="DBE5F1" w:themeFill="accent1" w:themeFillTint="33"/>
          </w:tcPr>
          <w:p w14:paraId="0A493838" w14:textId="77777777" w:rsidR="004436D3" w:rsidRPr="005F3049" w:rsidRDefault="004436D3" w:rsidP="00630232">
            <w:pPr>
              <w:spacing w:after="160"/>
              <w:rPr>
                <w:rFonts w:eastAsia="Calibri" w:cs="Arial"/>
                <w:b/>
                <w:bCs/>
                <w:sz w:val="20"/>
              </w:rPr>
            </w:pPr>
            <w:r w:rsidRPr="005F3049">
              <w:rPr>
                <w:rFonts w:eastAsia="Calibri" w:cs="Arial"/>
                <w:b/>
                <w:bCs/>
                <w:sz w:val="20"/>
              </w:rPr>
              <w:t>Does the State have an expected go-live date for the new IAS?</w:t>
            </w:r>
          </w:p>
        </w:tc>
        <w:tc>
          <w:tcPr>
            <w:tcW w:w="5490" w:type="dxa"/>
            <w:shd w:val="clear" w:color="auto" w:fill="DBE5F1" w:themeFill="accent1" w:themeFillTint="33"/>
          </w:tcPr>
          <w:p w14:paraId="35FE834D" w14:textId="679AA4AD" w:rsidR="004436D3" w:rsidRPr="005F3049" w:rsidRDefault="004436D3" w:rsidP="005F3049">
            <w:pPr>
              <w:spacing w:after="160"/>
              <w:rPr>
                <w:rFonts w:cs="Arial"/>
                <w:b/>
                <w:bCs/>
                <w:sz w:val="20"/>
              </w:rPr>
            </w:pPr>
            <w:bookmarkStart w:id="29" w:name="_Hlk35842966"/>
            <w:r w:rsidRPr="005F3049">
              <w:rPr>
                <w:rFonts w:cs="Arial"/>
                <w:b/>
                <w:bCs/>
                <w:sz w:val="20"/>
              </w:rPr>
              <w:t xml:space="preserve">ETF does not have an expected or pre-determined go-live date to which the vendor must commit. We will select the best vendor/solution based upon its capabilities, team, and pricing model. </w:t>
            </w:r>
            <w:bookmarkEnd w:id="29"/>
          </w:p>
        </w:tc>
      </w:tr>
      <w:tr w:rsidR="004436D3" w:rsidRPr="00382A25" w14:paraId="662FAD93" w14:textId="77777777" w:rsidTr="00AC3150">
        <w:tc>
          <w:tcPr>
            <w:tcW w:w="720" w:type="dxa"/>
            <w:shd w:val="clear" w:color="auto" w:fill="EEECE1" w:themeFill="background2"/>
          </w:tcPr>
          <w:p w14:paraId="1A59EE55" w14:textId="77777777" w:rsidR="004436D3" w:rsidRPr="00382A25" w:rsidRDefault="004436D3" w:rsidP="00630232">
            <w:pPr>
              <w:spacing w:after="160"/>
              <w:jc w:val="both"/>
              <w:rPr>
                <w:rFonts w:eastAsia="Calibri" w:cs="Arial"/>
                <w:b/>
                <w:bCs/>
                <w:sz w:val="20"/>
              </w:rPr>
            </w:pPr>
            <w:r w:rsidRPr="00382A25">
              <w:rPr>
                <w:rFonts w:eastAsia="Calibri" w:cs="Arial"/>
                <w:b/>
                <w:bCs/>
                <w:sz w:val="20"/>
              </w:rPr>
              <w:t>Q46</w:t>
            </w:r>
          </w:p>
        </w:tc>
        <w:tc>
          <w:tcPr>
            <w:tcW w:w="1710" w:type="dxa"/>
            <w:shd w:val="clear" w:color="auto" w:fill="EEECE1" w:themeFill="background2"/>
          </w:tcPr>
          <w:p w14:paraId="0718EF80" w14:textId="77777777" w:rsidR="004436D3" w:rsidRPr="00382A25" w:rsidRDefault="004436D3" w:rsidP="00630232">
            <w:pPr>
              <w:spacing w:after="160"/>
              <w:jc w:val="both"/>
              <w:rPr>
                <w:rFonts w:eastAsia="Calibri" w:cs="Arial"/>
                <w:b/>
                <w:bCs/>
                <w:sz w:val="20"/>
              </w:rPr>
            </w:pPr>
            <w:r w:rsidRPr="00382A25">
              <w:rPr>
                <w:rFonts w:eastAsia="Calibri" w:cs="Arial"/>
                <w:b/>
                <w:bCs/>
                <w:sz w:val="20"/>
              </w:rPr>
              <w:t>ET10050,</w:t>
            </w:r>
          </w:p>
        </w:tc>
        <w:tc>
          <w:tcPr>
            <w:tcW w:w="1710" w:type="dxa"/>
            <w:shd w:val="clear" w:color="auto" w:fill="EEECE1" w:themeFill="background2"/>
          </w:tcPr>
          <w:p w14:paraId="62A8B2F3" w14:textId="77777777" w:rsidR="004436D3" w:rsidRPr="00382A25" w:rsidRDefault="004436D3" w:rsidP="00630232">
            <w:pPr>
              <w:spacing w:after="160"/>
              <w:jc w:val="both"/>
              <w:rPr>
                <w:rFonts w:eastAsia="Calibri" w:cs="Arial"/>
                <w:b/>
                <w:bCs/>
                <w:sz w:val="20"/>
              </w:rPr>
            </w:pPr>
          </w:p>
        </w:tc>
        <w:tc>
          <w:tcPr>
            <w:tcW w:w="3420" w:type="dxa"/>
            <w:shd w:val="clear" w:color="auto" w:fill="EEECE1" w:themeFill="background2"/>
          </w:tcPr>
          <w:p w14:paraId="21000C1E" w14:textId="1BA96BD5" w:rsidR="004436D3" w:rsidRPr="00382A25" w:rsidRDefault="004436D3" w:rsidP="00630232">
            <w:pPr>
              <w:spacing w:after="160" w:line="259" w:lineRule="auto"/>
              <w:rPr>
                <w:rFonts w:eastAsia="Calibri" w:cs="Arial"/>
                <w:b/>
                <w:bCs/>
                <w:sz w:val="20"/>
              </w:rPr>
            </w:pPr>
            <w:r w:rsidRPr="00382A25">
              <w:rPr>
                <w:rFonts w:eastAsia="Calibri" w:cs="Arial"/>
                <w:b/>
                <w:bCs/>
                <w:sz w:val="20"/>
              </w:rPr>
              <w:t xml:space="preserve">Do all agencies offer the same exact benefit types or can certain agencies pick and choose what they want to offer to their employees? This is just for benefit type; we did see how </w:t>
            </w:r>
            <w:r w:rsidRPr="00382A25">
              <w:rPr>
                <w:rFonts w:eastAsia="Calibri" w:cs="Arial"/>
                <w:b/>
                <w:bCs/>
                <w:sz w:val="20"/>
              </w:rPr>
              <w:lastRenderedPageBreak/>
              <w:t>benefit plans/carriers can vary based on region.</w:t>
            </w:r>
          </w:p>
        </w:tc>
        <w:tc>
          <w:tcPr>
            <w:tcW w:w="5490" w:type="dxa"/>
            <w:shd w:val="clear" w:color="auto" w:fill="EEECE1" w:themeFill="background2"/>
          </w:tcPr>
          <w:p w14:paraId="16AA1F72" w14:textId="77777777" w:rsidR="004436D3" w:rsidRDefault="004436D3" w:rsidP="00630232">
            <w:pPr>
              <w:spacing w:after="160"/>
              <w:rPr>
                <w:rFonts w:cs="Arial"/>
                <w:b/>
                <w:bCs/>
                <w:sz w:val="20"/>
              </w:rPr>
            </w:pPr>
            <w:r>
              <w:rPr>
                <w:rFonts w:cs="Arial"/>
                <w:b/>
                <w:bCs/>
                <w:sz w:val="20"/>
              </w:rPr>
              <w:lastRenderedPageBreak/>
              <w:t xml:space="preserve">No, all employers do not offer the exact same benefit types. </w:t>
            </w:r>
          </w:p>
          <w:p w14:paraId="7409CBEC" w14:textId="2F2E7B64" w:rsidR="004436D3" w:rsidRDefault="004436D3" w:rsidP="00630232">
            <w:pPr>
              <w:spacing w:after="160"/>
              <w:rPr>
                <w:rFonts w:cs="Arial"/>
                <w:b/>
                <w:bCs/>
                <w:sz w:val="20"/>
              </w:rPr>
            </w:pPr>
            <w:r>
              <w:rPr>
                <w:rFonts w:cs="Arial"/>
                <w:b/>
                <w:bCs/>
                <w:sz w:val="20"/>
              </w:rPr>
              <w:t xml:space="preserve">All state agencies, other than the UW System (UW) and UW Hospitals and Clinics (UWHC), offer the same ETF-administered health, life, ICI, and supplemental benefits. These offerings fall under the scope of this RFP. </w:t>
            </w:r>
          </w:p>
          <w:p w14:paraId="33D7BB9C" w14:textId="00BD61FC" w:rsidR="004436D3" w:rsidRDefault="004436D3" w:rsidP="00630232">
            <w:pPr>
              <w:spacing w:after="160"/>
              <w:rPr>
                <w:rFonts w:cs="Arial"/>
                <w:b/>
                <w:bCs/>
                <w:sz w:val="20"/>
              </w:rPr>
            </w:pPr>
            <w:r>
              <w:rPr>
                <w:rFonts w:cs="Arial"/>
                <w:b/>
                <w:bCs/>
                <w:sz w:val="20"/>
              </w:rPr>
              <w:lastRenderedPageBreak/>
              <w:t>The UW and UWHC offer the same ETF-administered health, life, and ICI benefits (albeit with some different eligibility rules) as other state agencies. However, they have the discretion to choose which ETF-administered supplemental benefit plans to offer their employees, so their supplemental benefit offerings may be different than those of other state agencies. All such offerings fall under the scope of this RFP.</w:t>
            </w:r>
          </w:p>
          <w:p w14:paraId="7239AB58" w14:textId="18AA3C1E" w:rsidR="004436D3" w:rsidRDefault="004436D3" w:rsidP="00630232">
            <w:pPr>
              <w:spacing w:after="160"/>
              <w:rPr>
                <w:rFonts w:cs="Arial"/>
                <w:b/>
                <w:bCs/>
                <w:sz w:val="20"/>
              </w:rPr>
            </w:pPr>
            <w:r>
              <w:rPr>
                <w:rFonts w:cs="Arial"/>
                <w:b/>
                <w:bCs/>
                <w:sz w:val="20"/>
              </w:rPr>
              <w:t>In addition, the UW and UWHC have the authority to offer other supplemental benefits outside of those administered by ETF. These offerings are not within the scope of this RFP.</w:t>
            </w:r>
          </w:p>
          <w:p w14:paraId="3ABD3535" w14:textId="77777777" w:rsidR="004436D3" w:rsidRDefault="004436D3" w:rsidP="00630232">
            <w:pPr>
              <w:spacing w:after="160"/>
              <w:rPr>
                <w:rFonts w:cs="Arial"/>
                <w:b/>
                <w:bCs/>
                <w:sz w:val="20"/>
              </w:rPr>
            </w:pPr>
            <w:r>
              <w:rPr>
                <w:rFonts w:cs="Arial"/>
                <w:b/>
                <w:bCs/>
                <w:sz w:val="20"/>
              </w:rPr>
              <w:t xml:space="preserve">Wisconsin Public Employers (local employers) have even more discretion. They can choose to offer one or more ETF-administered health, life, ICI, and supplemental benefit programs. All such offerings fall under the scope of this RFP. </w:t>
            </w:r>
          </w:p>
          <w:p w14:paraId="19DD9F29" w14:textId="7DD639A8" w:rsidR="004436D3" w:rsidRPr="00382A25" w:rsidRDefault="004436D3" w:rsidP="00630232">
            <w:pPr>
              <w:spacing w:after="160"/>
              <w:rPr>
                <w:rFonts w:cs="Arial"/>
                <w:b/>
                <w:bCs/>
                <w:sz w:val="20"/>
              </w:rPr>
            </w:pPr>
            <w:r>
              <w:rPr>
                <w:rFonts w:cs="Arial"/>
                <w:b/>
                <w:bCs/>
                <w:sz w:val="20"/>
              </w:rPr>
              <w:t>Local employers also have the authority to offer other supplemental benefits outside of those administered by ETF. These offerings are not within the scope of this RFP.</w:t>
            </w:r>
          </w:p>
        </w:tc>
      </w:tr>
      <w:tr w:rsidR="004436D3" w:rsidRPr="00F5251C" w14:paraId="15C3CA10" w14:textId="77777777" w:rsidTr="00AC3150">
        <w:tc>
          <w:tcPr>
            <w:tcW w:w="720" w:type="dxa"/>
            <w:shd w:val="clear" w:color="auto" w:fill="DBE5F1" w:themeFill="accent1" w:themeFillTint="33"/>
          </w:tcPr>
          <w:p w14:paraId="4E22DDC2" w14:textId="77777777" w:rsidR="004436D3" w:rsidRPr="00F5251C" w:rsidRDefault="004436D3" w:rsidP="00630232">
            <w:pPr>
              <w:jc w:val="both"/>
              <w:rPr>
                <w:rFonts w:eastAsia="Calibri" w:cs="Arial"/>
                <w:b/>
                <w:bCs/>
                <w:sz w:val="20"/>
              </w:rPr>
            </w:pPr>
            <w:r w:rsidRPr="00F5251C">
              <w:rPr>
                <w:rFonts w:eastAsia="Calibri" w:cs="Arial"/>
                <w:b/>
                <w:bCs/>
                <w:sz w:val="20"/>
              </w:rPr>
              <w:lastRenderedPageBreak/>
              <w:t>Q47</w:t>
            </w:r>
          </w:p>
        </w:tc>
        <w:tc>
          <w:tcPr>
            <w:tcW w:w="1710" w:type="dxa"/>
            <w:shd w:val="clear" w:color="auto" w:fill="DBE5F1" w:themeFill="accent1" w:themeFillTint="33"/>
          </w:tcPr>
          <w:p w14:paraId="2AA230E5" w14:textId="77777777" w:rsidR="004436D3" w:rsidRPr="00F5251C" w:rsidRDefault="004436D3" w:rsidP="00630232">
            <w:pPr>
              <w:spacing w:after="160"/>
              <w:jc w:val="both"/>
              <w:rPr>
                <w:rFonts w:eastAsia="Calibri" w:cs="Arial"/>
                <w:b/>
                <w:bCs/>
                <w:sz w:val="20"/>
              </w:rPr>
            </w:pPr>
            <w:r w:rsidRPr="00F5251C">
              <w:rPr>
                <w:rFonts w:eastAsia="Calibri" w:cs="Arial"/>
                <w:b/>
                <w:bCs/>
                <w:sz w:val="20"/>
              </w:rPr>
              <w:t>ET10050,</w:t>
            </w:r>
          </w:p>
        </w:tc>
        <w:tc>
          <w:tcPr>
            <w:tcW w:w="1710" w:type="dxa"/>
            <w:shd w:val="clear" w:color="auto" w:fill="DBE5F1" w:themeFill="accent1" w:themeFillTint="33"/>
          </w:tcPr>
          <w:p w14:paraId="2B3A9DBB" w14:textId="77777777" w:rsidR="004436D3" w:rsidRPr="00F5251C" w:rsidRDefault="004436D3" w:rsidP="00630232">
            <w:pPr>
              <w:spacing w:after="160"/>
              <w:jc w:val="both"/>
              <w:rPr>
                <w:rFonts w:eastAsia="Calibri" w:cs="Arial"/>
                <w:b/>
                <w:bCs/>
                <w:sz w:val="20"/>
              </w:rPr>
            </w:pPr>
          </w:p>
        </w:tc>
        <w:tc>
          <w:tcPr>
            <w:tcW w:w="3420" w:type="dxa"/>
            <w:shd w:val="clear" w:color="auto" w:fill="DBE5F1" w:themeFill="accent1" w:themeFillTint="33"/>
          </w:tcPr>
          <w:p w14:paraId="02C1CEED" w14:textId="77777777" w:rsidR="004436D3" w:rsidRPr="00F5251C" w:rsidRDefault="004436D3" w:rsidP="00630232">
            <w:pPr>
              <w:spacing w:after="160"/>
              <w:rPr>
                <w:rFonts w:eastAsia="Calibri" w:cs="Arial"/>
                <w:b/>
                <w:bCs/>
                <w:sz w:val="20"/>
              </w:rPr>
            </w:pPr>
            <w:r w:rsidRPr="00F5251C">
              <w:rPr>
                <w:rFonts w:eastAsia="Calibri" w:cs="Arial"/>
                <w:b/>
                <w:bCs/>
                <w:sz w:val="20"/>
              </w:rPr>
              <w:t>Of all the employer group/agencies; how many of them have more than 500 employees?</w:t>
            </w:r>
          </w:p>
        </w:tc>
        <w:tc>
          <w:tcPr>
            <w:tcW w:w="5490" w:type="dxa"/>
            <w:shd w:val="clear" w:color="auto" w:fill="DBE5F1" w:themeFill="accent1" w:themeFillTint="33"/>
          </w:tcPr>
          <w:p w14:paraId="602C1238" w14:textId="7CB01550" w:rsidR="004436D3" w:rsidRPr="00F5251C" w:rsidRDefault="004436D3" w:rsidP="00630232">
            <w:pPr>
              <w:spacing w:after="160"/>
              <w:rPr>
                <w:rFonts w:cs="Arial"/>
                <w:b/>
                <w:bCs/>
                <w:sz w:val="20"/>
              </w:rPr>
            </w:pPr>
            <w:r>
              <w:rPr>
                <w:rFonts w:cs="Arial"/>
                <w:b/>
                <w:bCs/>
                <w:sz w:val="20"/>
              </w:rPr>
              <w:t xml:space="preserve">Currently, there are four employer groups that each cover more than 500 employees – one (1) local employer, two (2) state agencies, and one (1) state employer group that covers multiple state agencies. </w:t>
            </w:r>
          </w:p>
        </w:tc>
      </w:tr>
      <w:tr w:rsidR="004436D3" w:rsidRPr="006411D8" w14:paraId="2AAEA4D9" w14:textId="77777777" w:rsidTr="00AC3150">
        <w:tc>
          <w:tcPr>
            <w:tcW w:w="720" w:type="dxa"/>
            <w:shd w:val="clear" w:color="auto" w:fill="EEECE1" w:themeFill="background2"/>
          </w:tcPr>
          <w:p w14:paraId="132B7885" w14:textId="77777777" w:rsidR="004436D3" w:rsidRPr="006411D8" w:rsidRDefault="004436D3" w:rsidP="00630232">
            <w:pPr>
              <w:spacing w:after="160"/>
              <w:jc w:val="both"/>
              <w:rPr>
                <w:rFonts w:eastAsia="Calibri" w:cs="Arial"/>
                <w:b/>
                <w:bCs/>
                <w:sz w:val="20"/>
              </w:rPr>
            </w:pPr>
            <w:r w:rsidRPr="006411D8">
              <w:rPr>
                <w:rFonts w:eastAsia="Calibri" w:cs="Arial"/>
                <w:b/>
                <w:bCs/>
                <w:sz w:val="20"/>
              </w:rPr>
              <w:t>Q48</w:t>
            </w:r>
          </w:p>
        </w:tc>
        <w:tc>
          <w:tcPr>
            <w:tcW w:w="1710" w:type="dxa"/>
            <w:shd w:val="clear" w:color="auto" w:fill="EEECE1" w:themeFill="background2"/>
          </w:tcPr>
          <w:p w14:paraId="05BB3C58" w14:textId="77777777" w:rsidR="004436D3" w:rsidRPr="006411D8" w:rsidRDefault="004436D3" w:rsidP="00630232">
            <w:pPr>
              <w:jc w:val="both"/>
              <w:rPr>
                <w:rFonts w:eastAsia="Calibri" w:cs="Arial"/>
                <w:b/>
                <w:bCs/>
                <w:sz w:val="20"/>
              </w:rPr>
            </w:pPr>
            <w:r w:rsidRPr="006411D8">
              <w:rPr>
                <w:rFonts w:eastAsia="Calibri" w:cs="Arial"/>
                <w:b/>
                <w:bCs/>
                <w:sz w:val="20"/>
              </w:rPr>
              <w:t>Appendix 10</w:t>
            </w:r>
          </w:p>
        </w:tc>
        <w:tc>
          <w:tcPr>
            <w:tcW w:w="1710" w:type="dxa"/>
            <w:shd w:val="clear" w:color="auto" w:fill="EEECE1" w:themeFill="background2"/>
          </w:tcPr>
          <w:p w14:paraId="7B06AE04" w14:textId="77777777" w:rsidR="004436D3" w:rsidRPr="006411D8" w:rsidRDefault="004436D3" w:rsidP="00630232">
            <w:pPr>
              <w:spacing w:after="160"/>
              <w:jc w:val="both"/>
              <w:rPr>
                <w:rFonts w:eastAsia="Calibri" w:cs="Arial"/>
                <w:b/>
                <w:bCs/>
                <w:sz w:val="20"/>
              </w:rPr>
            </w:pPr>
          </w:p>
        </w:tc>
        <w:tc>
          <w:tcPr>
            <w:tcW w:w="3420" w:type="dxa"/>
            <w:shd w:val="clear" w:color="auto" w:fill="EEECE1" w:themeFill="background2"/>
          </w:tcPr>
          <w:p w14:paraId="4A4EDC8B" w14:textId="77777777" w:rsidR="004436D3" w:rsidRPr="006411D8" w:rsidRDefault="004436D3" w:rsidP="00630232">
            <w:pPr>
              <w:spacing w:after="160"/>
              <w:rPr>
                <w:rFonts w:eastAsia="Calibri" w:cs="Arial"/>
                <w:b/>
                <w:bCs/>
                <w:sz w:val="20"/>
              </w:rPr>
            </w:pPr>
            <w:r w:rsidRPr="006411D8">
              <w:rPr>
                <w:rFonts w:eastAsia="Calibri" w:cs="Arial"/>
                <w:b/>
                <w:bCs/>
                <w:sz w:val="20"/>
              </w:rPr>
              <w:t>Can you point to Exhibit A that is referenced in Appendix 10?</w:t>
            </w:r>
          </w:p>
        </w:tc>
        <w:tc>
          <w:tcPr>
            <w:tcW w:w="5490" w:type="dxa"/>
            <w:shd w:val="clear" w:color="auto" w:fill="EEECE1" w:themeFill="background2"/>
          </w:tcPr>
          <w:p w14:paraId="4E6F9B89" w14:textId="36E6F6ED" w:rsidR="004436D3" w:rsidRPr="006411D8" w:rsidRDefault="004436D3" w:rsidP="00630232">
            <w:pPr>
              <w:spacing w:after="160"/>
              <w:rPr>
                <w:rFonts w:cs="Arial"/>
                <w:b/>
                <w:bCs/>
                <w:sz w:val="20"/>
              </w:rPr>
            </w:pPr>
            <w:r w:rsidRPr="006411D8">
              <w:rPr>
                <w:b/>
                <w:bCs/>
                <w:color w:val="000000"/>
                <w:sz w:val="20"/>
              </w:rPr>
              <w:t>Currently there is no Exhibit A. Exhibit A is drafted by the Department during contract negotiations and identifies any agreed upon changes to the RFP or the selected vendor’s Proposal, negotiated terms, and any required clarifications to the Department Terms and Conditions.</w:t>
            </w:r>
          </w:p>
        </w:tc>
      </w:tr>
      <w:tr w:rsidR="004436D3" w:rsidRPr="00D86646" w14:paraId="5D6C5742" w14:textId="77777777" w:rsidTr="00AC3150">
        <w:tc>
          <w:tcPr>
            <w:tcW w:w="720" w:type="dxa"/>
            <w:shd w:val="clear" w:color="auto" w:fill="DBE5F1" w:themeFill="accent1" w:themeFillTint="33"/>
          </w:tcPr>
          <w:p w14:paraId="08F6D6A7" w14:textId="77777777" w:rsidR="004436D3" w:rsidRPr="00D86646" w:rsidRDefault="004436D3" w:rsidP="00630232">
            <w:pPr>
              <w:spacing w:after="160"/>
              <w:jc w:val="both"/>
              <w:rPr>
                <w:rFonts w:eastAsia="Calibri" w:cs="Arial"/>
                <w:b/>
                <w:bCs/>
                <w:sz w:val="20"/>
              </w:rPr>
            </w:pPr>
            <w:r w:rsidRPr="00D86646">
              <w:rPr>
                <w:rFonts w:eastAsia="Calibri" w:cs="Arial"/>
                <w:b/>
                <w:bCs/>
                <w:sz w:val="20"/>
              </w:rPr>
              <w:lastRenderedPageBreak/>
              <w:t>Q49</w:t>
            </w:r>
          </w:p>
        </w:tc>
        <w:tc>
          <w:tcPr>
            <w:tcW w:w="1710" w:type="dxa"/>
            <w:shd w:val="clear" w:color="auto" w:fill="DBE5F1" w:themeFill="accent1" w:themeFillTint="33"/>
          </w:tcPr>
          <w:p w14:paraId="00957287" w14:textId="77777777" w:rsidR="004436D3" w:rsidRPr="00D86646" w:rsidRDefault="004436D3" w:rsidP="00630232">
            <w:pPr>
              <w:spacing w:after="160"/>
              <w:jc w:val="both"/>
              <w:rPr>
                <w:rFonts w:eastAsia="Calibri" w:cs="Arial"/>
                <w:b/>
                <w:bCs/>
                <w:sz w:val="20"/>
              </w:rPr>
            </w:pPr>
            <w:r w:rsidRPr="00D86646">
              <w:rPr>
                <w:rFonts w:eastAsia="Calibri" w:cs="Arial"/>
                <w:b/>
                <w:bCs/>
                <w:sz w:val="20"/>
              </w:rPr>
              <w:t>ET10050,</w:t>
            </w:r>
          </w:p>
        </w:tc>
        <w:tc>
          <w:tcPr>
            <w:tcW w:w="1710" w:type="dxa"/>
            <w:shd w:val="clear" w:color="auto" w:fill="DBE5F1" w:themeFill="accent1" w:themeFillTint="33"/>
          </w:tcPr>
          <w:p w14:paraId="00575ED1" w14:textId="77777777" w:rsidR="004436D3" w:rsidRPr="00D86646" w:rsidRDefault="004436D3" w:rsidP="00630232">
            <w:pPr>
              <w:spacing w:after="160"/>
              <w:jc w:val="both"/>
              <w:rPr>
                <w:rFonts w:eastAsia="Calibri" w:cs="Arial"/>
                <w:b/>
                <w:bCs/>
                <w:sz w:val="20"/>
              </w:rPr>
            </w:pPr>
          </w:p>
        </w:tc>
        <w:tc>
          <w:tcPr>
            <w:tcW w:w="3420" w:type="dxa"/>
            <w:shd w:val="clear" w:color="auto" w:fill="DBE5F1" w:themeFill="accent1" w:themeFillTint="33"/>
          </w:tcPr>
          <w:p w14:paraId="32DD2D21" w14:textId="77777777" w:rsidR="004436D3" w:rsidRPr="00D86646" w:rsidRDefault="004436D3" w:rsidP="00630232">
            <w:pPr>
              <w:spacing w:after="160"/>
              <w:rPr>
                <w:rFonts w:eastAsia="Calibri" w:cs="Arial"/>
                <w:b/>
                <w:bCs/>
                <w:sz w:val="20"/>
              </w:rPr>
            </w:pPr>
            <w:r w:rsidRPr="00D86646">
              <w:rPr>
                <w:rFonts w:eastAsia="Calibri" w:cs="Arial"/>
                <w:b/>
                <w:bCs/>
                <w:sz w:val="20"/>
              </w:rPr>
              <w:t>Do local Wisconsin employers submitting a bid for IAS receive any additional points?</w:t>
            </w:r>
          </w:p>
        </w:tc>
        <w:tc>
          <w:tcPr>
            <w:tcW w:w="5490" w:type="dxa"/>
            <w:shd w:val="clear" w:color="auto" w:fill="DBE5F1" w:themeFill="accent1" w:themeFillTint="33"/>
          </w:tcPr>
          <w:p w14:paraId="6A19089D" w14:textId="25A51DA8" w:rsidR="004436D3" w:rsidRPr="00D86646" w:rsidRDefault="004436D3" w:rsidP="00630232">
            <w:pPr>
              <w:spacing w:after="160"/>
              <w:rPr>
                <w:rFonts w:cs="Arial"/>
                <w:b/>
                <w:bCs/>
                <w:sz w:val="20"/>
              </w:rPr>
            </w:pPr>
            <w:r w:rsidRPr="00D86646">
              <w:rPr>
                <w:rFonts w:cs="Arial"/>
                <w:b/>
                <w:bCs/>
                <w:sz w:val="20"/>
              </w:rPr>
              <w:t>No</w:t>
            </w:r>
            <w:r>
              <w:rPr>
                <w:rFonts w:cs="Arial"/>
                <w:b/>
                <w:bCs/>
                <w:sz w:val="20"/>
              </w:rPr>
              <w:t>, additional points will not be awarded for proposals submitted by local Wisconsin employers</w:t>
            </w:r>
            <w:r w:rsidRPr="00D86646">
              <w:rPr>
                <w:rFonts w:cs="Arial"/>
                <w:b/>
                <w:bCs/>
                <w:sz w:val="20"/>
              </w:rPr>
              <w:t xml:space="preserve">. All </w:t>
            </w:r>
            <w:r>
              <w:rPr>
                <w:rFonts w:cs="Arial"/>
                <w:b/>
                <w:bCs/>
                <w:sz w:val="20"/>
              </w:rPr>
              <w:t>P</w:t>
            </w:r>
            <w:r w:rsidRPr="00D86646">
              <w:rPr>
                <w:rFonts w:cs="Arial"/>
                <w:b/>
                <w:bCs/>
                <w:sz w:val="20"/>
              </w:rPr>
              <w:t>roposers and proposals will be scored and treated equally.</w:t>
            </w:r>
          </w:p>
        </w:tc>
      </w:tr>
      <w:tr w:rsidR="004436D3" w:rsidRPr="00DB28D3" w14:paraId="728C43EC" w14:textId="77777777" w:rsidTr="00AC3150">
        <w:tc>
          <w:tcPr>
            <w:tcW w:w="720" w:type="dxa"/>
            <w:shd w:val="clear" w:color="auto" w:fill="EEECE1" w:themeFill="background2"/>
          </w:tcPr>
          <w:p w14:paraId="205C7238" w14:textId="77777777" w:rsidR="004436D3" w:rsidRPr="00DB28D3" w:rsidRDefault="004436D3" w:rsidP="00630232">
            <w:pPr>
              <w:spacing w:after="160"/>
              <w:jc w:val="both"/>
              <w:rPr>
                <w:rFonts w:eastAsia="Calibri" w:cs="Arial"/>
                <w:b/>
                <w:bCs/>
                <w:sz w:val="20"/>
              </w:rPr>
            </w:pPr>
            <w:r w:rsidRPr="00DB28D3">
              <w:rPr>
                <w:rFonts w:eastAsia="Calibri" w:cs="Arial"/>
                <w:b/>
                <w:bCs/>
                <w:sz w:val="20"/>
              </w:rPr>
              <w:t>Q50</w:t>
            </w:r>
          </w:p>
        </w:tc>
        <w:tc>
          <w:tcPr>
            <w:tcW w:w="1710" w:type="dxa"/>
            <w:shd w:val="clear" w:color="auto" w:fill="EEECE1" w:themeFill="background2"/>
          </w:tcPr>
          <w:p w14:paraId="15968FC2" w14:textId="77777777" w:rsidR="004436D3" w:rsidRPr="00DB28D3" w:rsidRDefault="004436D3" w:rsidP="00630232">
            <w:pPr>
              <w:spacing w:after="160"/>
              <w:jc w:val="both"/>
              <w:rPr>
                <w:rFonts w:eastAsia="Calibri" w:cs="Arial"/>
                <w:b/>
                <w:bCs/>
                <w:sz w:val="20"/>
              </w:rPr>
            </w:pPr>
            <w:r w:rsidRPr="00DB28D3">
              <w:rPr>
                <w:rFonts w:eastAsia="Calibri" w:cs="Arial"/>
                <w:b/>
                <w:bCs/>
                <w:sz w:val="20"/>
              </w:rPr>
              <w:t>ET10050,</w:t>
            </w:r>
          </w:p>
        </w:tc>
        <w:tc>
          <w:tcPr>
            <w:tcW w:w="1710" w:type="dxa"/>
            <w:shd w:val="clear" w:color="auto" w:fill="EEECE1" w:themeFill="background2"/>
          </w:tcPr>
          <w:p w14:paraId="4C15CEE8" w14:textId="77777777" w:rsidR="004436D3" w:rsidRPr="00DB28D3" w:rsidRDefault="004436D3" w:rsidP="00630232">
            <w:pPr>
              <w:spacing w:after="160"/>
              <w:jc w:val="both"/>
              <w:rPr>
                <w:rFonts w:eastAsia="Calibri" w:cs="Arial"/>
                <w:b/>
                <w:bCs/>
                <w:sz w:val="20"/>
              </w:rPr>
            </w:pPr>
          </w:p>
        </w:tc>
        <w:tc>
          <w:tcPr>
            <w:tcW w:w="3420" w:type="dxa"/>
            <w:shd w:val="clear" w:color="auto" w:fill="EEECE1" w:themeFill="background2"/>
          </w:tcPr>
          <w:p w14:paraId="7BAF746B" w14:textId="77777777" w:rsidR="004436D3" w:rsidRPr="00DB28D3" w:rsidRDefault="004436D3" w:rsidP="00630232">
            <w:pPr>
              <w:spacing w:after="160"/>
              <w:rPr>
                <w:rFonts w:eastAsia="Calibri" w:cs="Arial"/>
                <w:b/>
                <w:bCs/>
                <w:sz w:val="20"/>
              </w:rPr>
            </w:pPr>
            <w:r w:rsidRPr="00DB28D3">
              <w:rPr>
                <w:rFonts w:eastAsia="Calibri" w:cs="Arial"/>
                <w:b/>
                <w:bCs/>
                <w:sz w:val="20"/>
              </w:rPr>
              <w:t>Can an employee be actively employed by two different agencies at the same time? Which agency offers the benefits?</w:t>
            </w:r>
          </w:p>
        </w:tc>
        <w:tc>
          <w:tcPr>
            <w:tcW w:w="5490" w:type="dxa"/>
            <w:shd w:val="clear" w:color="auto" w:fill="EEECE1" w:themeFill="background2"/>
          </w:tcPr>
          <w:p w14:paraId="6C706549" w14:textId="070ECB07" w:rsidR="004436D3" w:rsidRPr="00DB28D3" w:rsidRDefault="004436D3" w:rsidP="00630232">
            <w:pPr>
              <w:spacing w:after="160"/>
              <w:rPr>
                <w:b/>
                <w:bCs/>
                <w:color w:val="000000"/>
                <w:sz w:val="20"/>
              </w:rPr>
            </w:pPr>
            <w:r w:rsidRPr="00DB28D3">
              <w:rPr>
                <w:b/>
                <w:bCs/>
                <w:color w:val="000000"/>
                <w:sz w:val="20"/>
              </w:rPr>
              <w:t>Yes, an individual can be actively employed by multiple employers at the same time.</w:t>
            </w:r>
          </w:p>
          <w:p w14:paraId="57AAA3EE" w14:textId="6D8E0554" w:rsidR="004436D3" w:rsidRPr="00DB28D3" w:rsidRDefault="004436D3" w:rsidP="00630232">
            <w:pPr>
              <w:spacing w:after="160"/>
              <w:rPr>
                <w:b/>
                <w:bCs/>
                <w:color w:val="000000"/>
                <w:sz w:val="20"/>
              </w:rPr>
            </w:pPr>
            <w:r w:rsidRPr="00DB28D3">
              <w:rPr>
                <w:b/>
                <w:bCs/>
                <w:color w:val="000000"/>
                <w:sz w:val="20"/>
              </w:rPr>
              <w:t>In most cases, Wisconsin Retirement System (WRS) participation is required before the member is eligible for insurance coverage. Typically, the employer through which the member has WRS coverage or, if the member has WRS coverage through multiple employers, the employer with whom the member works the most hours</w:t>
            </w:r>
            <w:r>
              <w:rPr>
                <w:b/>
                <w:bCs/>
                <w:color w:val="000000"/>
                <w:sz w:val="20"/>
              </w:rPr>
              <w:t>,</w:t>
            </w:r>
            <w:r w:rsidRPr="00DB28D3">
              <w:rPr>
                <w:b/>
                <w:bCs/>
                <w:color w:val="000000"/>
                <w:sz w:val="20"/>
              </w:rPr>
              <w:t xml:space="preserve"> is the one who offers and manages health and life insurance benefits.  </w:t>
            </w:r>
          </w:p>
          <w:p w14:paraId="0973E463" w14:textId="30CE8103" w:rsidR="004436D3" w:rsidRPr="00DB28D3" w:rsidRDefault="004436D3" w:rsidP="00630232">
            <w:pPr>
              <w:spacing w:after="160"/>
              <w:rPr>
                <w:b/>
                <w:bCs/>
                <w:color w:val="000000"/>
                <w:sz w:val="20"/>
              </w:rPr>
            </w:pPr>
            <w:r w:rsidRPr="00DB28D3">
              <w:rPr>
                <w:b/>
                <w:bCs/>
                <w:color w:val="000000"/>
                <w:sz w:val="20"/>
              </w:rPr>
              <w:t xml:space="preserve">Currently, ICI requires a separate enrollment at each WRS covered employer. However, we are interested in streamlining this process so that ICI coverage works like life insurance where a single enrollment covers earnings at all eligible employers. </w:t>
            </w:r>
          </w:p>
          <w:p w14:paraId="15121A6B" w14:textId="2C5BBD90" w:rsidR="004436D3" w:rsidRPr="00DB28D3" w:rsidRDefault="004436D3" w:rsidP="00DB28D3">
            <w:pPr>
              <w:spacing w:after="160"/>
              <w:rPr>
                <w:rFonts w:cs="Arial"/>
                <w:b/>
                <w:bCs/>
                <w:sz w:val="20"/>
              </w:rPr>
            </w:pPr>
            <w:r w:rsidRPr="00DB28D3">
              <w:rPr>
                <w:rFonts w:cs="Arial"/>
                <w:b/>
                <w:bCs/>
                <w:sz w:val="20"/>
              </w:rPr>
              <w:t xml:space="preserve">Proposers are encouraged to provide details regarding the functionality their systems offer to manage these types of employment and coverage scenarios. </w:t>
            </w:r>
          </w:p>
        </w:tc>
      </w:tr>
      <w:tr w:rsidR="004436D3" w:rsidRPr="00576AB7" w14:paraId="4602BA29" w14:textId="77777777" w:rsidTr="00AC3150">
        <w:tc>
          <w:tcPr>
            <w:tcW w:w="720" w:type="dxa"/>
            <w:shd w:val="clear" w:color="auto" w:fill="DBE5F1" w:themeFill="accent1" w:themeFillTint="33"/>
          </w:tcPr>
          <w:p w14:paraId="0A16B8C3" w14:textId="77777777" w:rsidR="004436D3" w:rsidRPr="00576AB7" w:rsidRDefault="004436D3" w:rsidP="00630232">
            <w:pPr>
              <w:spacing w:after="160"/>
              <w:jc w:val="both"/>
              <w:rPr>
                <w:rFonts w:eastAsia="Calibri" w:cs="Arial"/>
                <w:b/>
                <w:bCs/>
                <w:sz w:val="20"/>
              </w:rPr>
            </w:pPr>
            <w:bookmarkStart w:id="30" w:name="_Hlk36016625"/>
            <w:r w:rsidRPr="00576AB7">
              <w:rPr>
                <w:rFonts w:eastAsia="Calibri" w:cs="Arial"/>
                <w:b/>
                <w:bCs/>
                <w:sz w:val="20"/>
              </w:rPr>
              <w:t>Q51</w:t>
            </w:r>
          </w:p>
        </w:tc>
        <w:tc>
          <w:tcPr>
            <w:tcW w:w="1710" w:type="dxa"/>
            <w:shd w:val="clear" w:color="auto" w:fill="DBE5F1" w:themeFill="accent1" w:themeFillTint="33"/>
          </w:tcPr>
          <w:p w14:paraId="24BAC66A" w14:textId="77777777" w:rsidR="004436D3" w:rsidRPr="00576AB7" w:rsidRDefault="004436D3" w:rsidP="00630232">
            <w:pPr>
              <w:spacing w:after="160"/>
              <w:jc w:val="both"/>
              <w:rPr>
                <w:rFonts w:eastAsia="Calibri" w:cs="Arial"/>
                <w:b/>
                <w:bCs/>
                <w:sz w:val="20"/>
              </w:rPr>
            </w:pPr>
            <w:r w:rsidRPr="00576AB7">
              <w:rPr>
                <w:rFonts w:eastAsia="Calibri" w:cs="Arial"/>
                <w:b/>
                <w:bCs/>
                <w:sz w:val="20"/>
              </w:rPr>
              <w:t>ET10050,</w:t>
            </w:r>
          </w:p>
        </w:tc>
        <w:tc>
          <w:tcPr>
            <w:tcW w:w="1710" w:type="dxa"/>
            <w:shd w:val="clear" w:color="auto" w:fill="DBE5F1" w:themeFill="accent1" w:themeFillTint="33"/>
          </w:tcPr>
          <w:p w14:paraId="2C5AA57A" w14:textId="77777777" w:rsidR="004436D3" w:rsidRPr="00576AB7" w:rsidRDefault="004436D3" w:rsidP="00630232">
            <w:pPr>
              <w:spacing w:after="160"/>
              <w:jc w:val="both"/>
              <w:rPr>
                <w:rFonts w:eastAsia="Calibri" w:cs="Arial"/>
                <w:b/>
                <w:bCs/>
                <w:sz w:val="20"/>
              </w:rPr>
            </w:pPr>
          </w:p>
        </w:tc>
        <w:tc>
          <w:tcPr>
            <w:tcW w:w="3420" w:type="dxa"/>
            <w:shd w:val="clear" w:color="auto" w:fill="DBE5F1" w:themeFill="accent1" w:themeFillTint="33"/>
          </w:tcPr>
          <w:p w14:paraId="2C8B1269" w14:textId="77777777" w:rsidR="004436D3" w:rsidRPr="00576AB7" w:rsidRDefault="004436D3" w:rsidP="00630232">
            <w:pPr>
              <w:spacing w:after="160"/>
              <w:rPr>
                <w:rFonts w:eastAsia="Calibri" w:cs="Arial"/>
                <w:b/>
                <w:bCs/>
                <w:sz w:val="20"/>
              </w:rPr>
            </w:pPr>
            <w:r w:rsidRPr="00576AB7">
              <w:rPr>
                <w:rFonts w:eastAsia="Calibri" w:cs="Arial"/>
                <w:b/>
                <w:bCs/>
                <w:sz w:val="20"/>
              </w:rPr>
              <w:t>Who manages their retiree population? The HR Administrators across each of the employing units or a separate entity?</w:t>
            </w:r>
          </w:p>
        </w:tc>
        <w:tc>
          <w:tcPr>
            <w:tcW w:w="5490" w:type="dxa"/>
            <w:shd w:val="clear" w:color="auto" w:fill="DBE5F1" w:themeFill="accent1" w:themeFillTint="33"/>
          </w:tcPr>
          <w:p w14:paraId="17350525" w14:textId="77777777" w:rsidR="004436D3" w:rsidRPr="00A57671" w:rsidRDefault="004436D3" w:rsidP="00A57671">
            <w:pPr>
              <w:spacing w:after="160"/>
              <w:rPr>
                <w:rFonts w:cs="Arial"/>
                <w:b/>
                <w:bCs/>
                <w:sz w:val="20"/>
              </w:rPr>
            </w:pPr>
            <w:r w:rsidRPr="00A57671">
              <w:rPr>
                <w:rFonts w:cs="Arial"/>
                <w:b/>
                <w:bCs/>
                <w:sz w:val="20"/>
              </w:rPr>
              <w:t xml:space="preserve">Certain local employers provide health insurance coverage for their retirees for a period of time after retirement (we call these “local paid annuitants). Insurance management for these local paid annuitants is a joint effort between the former local employer and ETF.  </w:t>
            </w:r>
          </w:p>
          <w:p w14:paraId="68130F04" w14:textId="77777777" w:rsidR="004436D3" w:rsidRPr="00A57671" w:rsidRDefault="004436D3" w:rsidP="00A57671">
            <w:pPr>
              <w:rPr>
                <w:rFonts w:cs="Arial"/>
                <w:b/>
                <w:bCs/>
                <w:sz w:val="20"/>
              </w:rPr>
            </w:pPr>
            <w:r w:rsidRPr="00A57671">
              <w:rPr>
                <w:rFonts w:cs="Arial"/>
                <w:b/>
                <w:bCs/>
                <w:sz w:val="20"/>
              </w:rPr>
              <w:t>All other retirees are managed by ETF.</w:t>
            </w:r>
          </w:p>
          <w:p w14:paraId="6E4E1EDB" w14:textId="5864343E" w:rsidR="004436D3" w:rsidRPr="00A57671" w:rsidRDefault="004436D3" w:rsidP="00A57671">
            <w:pPr>
              <w:spacing w:after="160"/>
              <w:rPr>
                <w:rFonts w:cs="Arial"/>
                <w:b/>
                <w:bCs/>
                <w:sz w:val="20"/>
              </w:rPr>
            </w:pPr>
          </w:p>
        </w:tc>
      </w:tr>
      <w:bookmarkEnd w:id="30"/>
      <w:tr w:rsidR="004436D3" w:rsidRPr="00F5251C" w14:paraId="48BDCAD7" w14:textId="77777777" w:rsidTr="00AC3150">
        <w:tc>
          <w:tcPr>
            <w:tcW w:w="720" w:type="dxa"/>
            <w:shd w:val="clear" w:color="auto" w:fill="EEECE1" w:themeFill="background2"/>
          </w:tcPr>
          <w:p w14:paraId="71AC8172" w14:textId="77777777" w:rsidR="004436D3" w:rsidRPr="00F5251C" w:rsidRDefault="004436D3" w:rsidP="00630232">
            <w:pPr>
              <w:spacing w:after="160"/>
              <w:jc w:val="both"/>
              <w:rPr>
                <w:rFonts w:eastAsia="Calibri" w:cs="Arial"/>
                <w:b/>
                <w:bCs/>
                <w:sz w:val="20"/>
              </w:rPr>
            </w:pPr>
            <w:r w:rsidRPr="00F5251C">
              <w:rPr>
                <w:rFonts w:eastAsia="Calibri" w:cs="Arial"/>
                <w:b/>
                <w:bCs/>
                <w:sz w:val="20"/>
              </w:rPr>
              <w:t>Q52</w:t>
            </w:r>
          </w:p>
        </w:tc>
        <w:tc>
          <w:tcPr>
            <w:tcW w:w="1710" w:type="dxa"/>
            <w:shd w:val="clear" w:color="auto" w:fill="EEECE1" w:themeFill="background2"/>
          </w:tcPr>
          <w:p w14:paraId="01EEE85B" w14:textId="77777777" w:rsidR="004436D3" w:rsidRPr="00F5251C" w:rsidRDefault="004436D3" w:rsidP="00630232">
            <w:pPr>
              <w:jc w:val="both"/>
              <w:rPr>
                <w:rFonts w:eastAsia="Calibri" w:cs="Arial"/>
                <w:b/>
                <w:bCs/>
                <w:sz w:val="20"/>
              </w:rPr>
            </w:pPr>
            <w:r w:rsidRPr="00F5251C">
              <w:rPr>
                <w:rFonts w:eastAsia="Calibri" w:cs="Arial"/>
                <w:b/>
                <w:bCs/>
                <w:sz w:val="20"/>
              </w:rPr>
              <w:t xml:space="preserve">ET10050, </w:t>
            </w:r>
          </w:p>
        </w:tc>
        <w:tc>
          <w:tcPr>
            <w:tcW w:w="1710" w:type="dxa"/>
            <w:shd w:val="clear" w:color="auto" w:fill="EEECE1" w:themeFill="background2"/>
          </w:tcPr>
          <w:p w14:paraId="45549AF0" w14:textId="77777777" w:rsidR="004436D3" w:rsidRPr="00F5251C" w:rsidRDefault="004436D3" w:rsidP="00630232">
            <w:pPr>
              <w:spacing w:after="160"/>
              <w:jc w:val="both"/>
              <w:rPr>
                <w:rFonts w:eastAsia="Calibri" w:cs="Arial"/>
                <w:b/>
                <w:bCs/>
                <w:sz w:val="20"/>
              </w:rPr>
            </w:pPr>
            <w:r w:rsidRPr="00F5251C">
              <w:rPr>
                <w:rFonts w:eastAsia="Calibri" w:cs="Arial"/>
                <w:b/>
                <w:bCs/>
                <w:sz w:val="20"/>
              </w:rPr>
              <w:t>5 of 33</w:t>
            </w:r>
          </w:p>
        </w:tc>
        <w:tc>
          <w:tcPr>
            <w:tcW w:w="3420" w:type="dxa"/>
            <w:shd w:val="clear" w:color="auto" w:fill="EEECE1" w:themeFill="background2"/>
          </w:tcPr>
          <w:p w14:paraId="59C8C5A6" w14:textId="77777777" w:rsidR="004436D3" w:rsidRPr="00F5251C" w:rsidRDefault="004436D3" w:rsidP="00630232">
            <w:pPr>
              <w:spacing w:after="160"/>
              <w:rPr>
                <w:rFonts w:eastAsia="Calibri" w:cs="Arial"/>
                <w:b/>
                <w:bCs/>
                <w:sz w:val="20"/>
              </w:rPr>
            </w:pPr>
            <w:r w:rsidRPr="00F5251C">
              <w:rPr>
                <w:rFonts w:eastAsia="Calibri" w:cs="Arial"/>
                <w:b/>
                <w:bCs/>
                <w:sz w:val="20"/>
              </w:rPr>
              <w:t>Does the 110,237 number include retiree medical subscribers?</w:t>
            </w:r>
          </w:p>
        </w:tc>
        <w:tc>
          <w:tcPr>
            <w:tcW w:w="5490" w:type="dxa"/>
            <w:shd w:val="clear" w:color="auto" w:fill="EEECE1" w:themeFill="background2"/>
          </w:tcPr>
          <w:p w14:paraId="065367B2" w14:textId="678D086B" w:rsidR="004436D3" w:rsidRPr="00F5251C" w:rsidRDefault="004436D3" w:rsidP="00630232">
            <w:pPr>
              <w:spacing w:after="160"/>
              <w:rPr>
                <w:rFonts w:cs="Arial"/>
                <w:b/>
                <w:bCs/>
                <w:sz w:val="20"/>
              </w:rPr>
            </w:pPr>
            <w:r>
              <w:rPr>
                <w:rFonts w:cs="Arial"/>
                <w:b/>
                <w:bCs/>
                <w:sz w:val="20"/>
              </w:rPr>
              <w:t>Yes, the 110,237 number includes all health insurance contract subscribers, including retirees.</w:t>
            </w:r>
          </w:p>
        </w:tc>
      </w:tr>
      <w:tr w:rsidR="004436D3" w:rsidRPr="005D5B34" w14:paraId="0CF33FAC" w14:textId="77777777" w:rsidTr="00AC3150">
        <w:tc>
          <w:tcPr>
            <w:tcW w:w="720" w:type="dxa"/>
            <w:shd w:val="clear" w:color="auto" w:fill="DBE5F1" w:themeFill="accent1" w:themeFillTint="33"/>
          </w:tcPr>
          <w:p w14:paraId="341B7645" w14:textId="77777777" w:rsidR="004436D3" w:rsidRPr="005D5B34" w:rsidRDefault="004436D3" w:rsidP="00630232">
            <w:pPr>
              <w:spacing w:after="160"/>
              <w:jc w:val="both"/>
              <w:rPr>
                <w:rFonts w:eastAsia="Calibri" w:cs="Arial"/>
                <w:b/>
                <w:bCs/>
                <w:sz w:val="20"/>
              </w:rPr>
            </w:pPr>
            <w:r w:rsidRPr="005D5B34">
              <w:rPr>
                <w:rFonts w:eastAsia="Calibri" w:cs="Arial"/>
                <w:b/>
                <w:bCs/>
                <w:sz w:val="20"/>
              </w:rPr>
              <w:lastRenderedPageBreak/>
              <w:t>Q53</w:t>
            </w:r>
          </w:p>
        </w:tc>
        <w:tc>
          <w:tcPr>
            <w:tcW w:w="1710" w:type="dxa"/>
            <w:shd w:val="clear" w:color="auto" w:fill="DBE5F1" w:themeFill="accent1" w:themeFillTint="33"/>
          </w:tcPr>
          <w:p w14:paraId="1C94F894" w14:textId="77777777" w:rsidR="004436D3" w:rsidRPr="005D5B34" w:rsidRDefault="004436D3" w:rsidP="00630232">
            <w:pPr>
              <w:spacing w:after="160"/>
              <w:rPr>
                <w:rFonts w:eastAsia="Calibri" w:cs="Arial"/>
                <w:b/>
                <w:bCs/>
                <w:sz w:val="20"/>
              </w:rPr>
            </w:pPr>
            <w:r w:rsidRPr="005D5B34">
              <w:rPr>
                <w:rFonts w:eastAsia="Calibri" w:cs="Arial"/>
                <w:b/>
                <w:bCs/>
                <w:i/>
                <w:iCs/>
                <w:sz w:val="20"/>
              </w:rPr>
              <w:t>This is related more generally across all docs and not specific to one Appendix</w:t>
            </w:r>
          </w:p>
        </w:tc>
        <w:tc>
          <w:tcPr>
            <w:tcW w:w="1710" w:type="dxa"/>
            <w:shd w:val="clear" w:color="auto" w:fill="DBE5F1" w:themeFill="accent1" w:themeFillTint="33"/>
          </w:tcPr>
          <w:p w14:paraId="1A11127F" w14:textId="77777777" w:rsidR="004436D3" w:rsidRPr="005D5B34" w:rsidRDefault="004436D3" w:rsidP="00630232">
            <w:pPr>
              <w:spacing w:after="160"/>
              <w:jc w:val="both"/>
              <w:rPr>
                <w:rFonts w:eastAsia="Calibri" w:cs="Arial"/>
                <w:b/>
                <w:bCs/>
                <w:sz w:val="20"/>
              </w:rPr>
            </w:pPr>
          </w:p>
        </w:tc>
        <w:tc>
          <w:tcPr>
            <w:tcW w:w="3420" w:type="dxa"/>
            <w:shd w:val="clear" w:color="auto" w:fill="DBE5F1" w:themeFill="accent1" w:themeFillTint="33"/>
          </w:tcPr>
          <w:p w14:paraId="2B1E69B5" w14:textId="52102BD9" w:rsidR="004436D3" w:rsidRPr="005D5B34" w:rsidRDefault="004436D3" w:rsidP="00630232">
            <w:pPr>
              <w:spacing w:after="160"/>
              <w:rPr>
                <w:rFonts w:eastAsia="Calibri" w:cs="Arial"/>
                <w:b/>
                <w:bCs/>
                <w:sz w:val="20"/>
              </w:rPr>
            </w:pPr>
            <w:r w:rsidRPr="005D5B34">
              <w:rPr>
                <w:rFonts w:eastAsia="Calibri" w:cs="Arial"/>
                <w:b/>
                <w:bCs/>
                <w:i/>
                <w:iCs/>
                <w:sz w:val="20"/>
              </w:rPr>
              <w:t xml:space="preserve">Certain provisions/requirements may need to be revised to be more consistent with a Software-as-a-Service business model, such as, by way of example, but not as a limitation, revisions related to requirements specifically related to an “on-prem” solution, intellectual property terms, additions of or revisions to certain warranties, etc. Because we believe the economics of our Software-as-a-Service subscription-based business model can be beneficial to taxpayers, is the State willing to consider revisions that provide alternative, but commercially reasonable, provisions to align more closely with our Software-as-a-Service business model?  </w:t>
            </w:r>
          </w:p>
        </w:tc>
        <w:tc>
          <w:tcPr>
            <w:tcW w:w="5490" w:type="dxa"/>
            <w:shd w:val="clear" w:color="auto" w:fill="DBE5F1" w:themeFill="accent1" w:themeFillTint="33"/>
          </w:tcPr>
          <w:p w14:paraId="48CA1E25" w14:textId="50573155" w:rsidR="004436D3" w:rsidRPr="005D5B34" w:rsidRDefault="004436D3" w:rsidP="00630232">
            <w:pPr>
              <w:spacing w:after="160"/>
              <w:rPr>
                <w:rFonts w:cs="Arial"/>
                <w:b/>
                <w:bCs/>
                <w:sz w:val="20"/>
              </w:rPr>
            </w:pPr>
            <w:r w:rsidRPr="005D5B34">
              <w:rPr>
                <w:rFonts w:cs="Arial"/>
                <w:b/>
                <w:bCs/>
                <w:sz w:val="20"/>
              </w:rPr>
              <w:t xml:space="preserve">ETF may be open to modifying these items. Please highlight in your proposal any items you’d like to modify, provide explanations, and details regarding how you propose the new modified language to read. We will review and evaluate your proposed changes during the overall scoring process. </w:t>
            </w:r>
          </w:p>
        </w:tc>
      </w:tr>
      <w:tr w:rsidR="004436D3" w:rsidRPr="006411D8" w14:paraId="4830DE3F" w14:textId="77777777" w:rsidTr="00AC3150">
        <w:tc>
          <w:tcPr>
            <w:tcW w:w="720" w:type="dxa"/>
            <w:shd w:val="clear" w:color="auto" w:fill="EEECE1" w:themeFill="background2"/>
          </w:tcPr>
          <w:p w14:paraId="6ADE4EDF" w14:textId="250D261A" w:rsidR="004436D3" w:rsidRPr="006411D8" w:rsidRDefault="004436D3" w:rsidP="00630232">
            <w:pPr>
              <w:spacing w:after="160"/>
              <w:jc w:val="both"/>
              <w:rPr>
                <w:rFonts w:eastAsia="Calibri" w:cs="Arial"/>
                <w:b/>
                <w:bCs/>
                <w:sz w:val="20"/>
              </w:rPr>
            </w:pPr>
            <w:bookmarkStart w:id="31" w:name="_Hlk35928088"/>
            <w:r w:rsidRPr="006411D8">
              <w:rPr>
                <w:rFonts w:eastAsia="Calibri" w:cs="Arial"/>
                <w:b/>
                <w:bCs/>
                <w:sz w:val="20"/>
              </w:rPr>
              <w:t>Q54</w:t>
            </w:r>
          </w:p>
        </w:tc>
        <w:tc>
          <w:tcPr>
            <w:tcW w:w="1710" w:type="dxa"/>
            <w:shd w:val="clear" w:color="auto" w:fill="EEECE1" w:themeFill="background2"/>
          </w:tcPr>
          <w:p w14:paraId="6D84B35A" w14:textId="77777777" w:rsidR="004436D3" w:rsidRPr="006411D8" w:rsidRDefault="004436D3" w:rsidP="00630232">
            <w:pPr>
              <w:spacing w:after="160"/>
              <w:jc w:val="both"/>
              <w:rPr>
                <w:rFonts w:eastAsia="Calibri" w:cs="Arial"/>
                <w:b/>
                <w:bCs/>
                <w:sz w:val="20"/>
              </w:rPr>
            </w:pPr>
            <w:r w:rsidRPr="006411D8">
              <w:rPr>
                <w:rFonts w:eastAsia="Calibri" w:cs="Arial"/>
                <w:b/>
                <w:bCs/>
                <w:sz w:val="20"/>
              </w:rPr>
              <w:t>ET10050,</w:t>
            </w:r>
          </w:p>
          <w:p w14:paraId="16E164BB" w14:textId="77777777" w:rsidR="004436D3" w:rsidRPr="006411D8" w:rsidRDefault="004436D3" w:rsidP="00630232">
            <w:pPr>
              <w:spacing w:after="160"/>
              <w:jc w:val="both"/>
              <w:rPr>
                <w:rFonts w:eastAsia="Calibri" w:cs="Arial"/>
                <w:b/>
                <w:bCs/>
                <w:sz w:val="20"/>
              </w:rPr>
            </w:pPr>
          </w:p>
        </w:tc>
        <w:tc>
          <w:tcPr>
            <w:tcW w:w="1710" w:type="dxa"/>
            <w:shd w:val="clear" w:color="auto" w:fill="EEECE1" w:themeFill="background2"/>
          </w:tcPr>
          <w:p w14:paraId="5FE21619" w14:textId="77777777" w:rsidR="004436D3" w:rsidRPr="006411D8" w:rsidRDefault="004436D3" w:rsidP="00630232">
            <w:pPr>
              <w:spacing w:after="160"/>
              <w:jc w:val="both"/>
              <w:rPr>
                <w:rFonts w:eastAsia="Calibri" w:cs="Arial"/>
                <w:b/>
                <w:bCs/>
                <w:sz w:val="20"/>
              </w:rPr>
            </w:pPr>
            <w:r w:rsidRPr="006411D8">
              <w:rPr>
                <w:rFonts w:eastAsia="Calibri" w:cs="Arial"/>
                <w:b/>
                <w:bCs/>
                <w:sz w:val="20"/>
              </w:rPr>
              <w:t>16 of 33</w:t>
            </w:r>
          </w:p>
        </w:tc>
        <w:tc>
          <w:tcPr>
            <w:tcW w:w="3420" w:type="dxa"/>
            <w:shd w:val="clear" w:color="auto" w:fill="EEECE1" w:themeFill="background2"/>
          </w:tcPr>
          <w:p w14:paraId="7F76B7D0" w14:textId="77777777" w:rsidR="004436D3" w:rsidRPr="006411D8" w:rsidRDefault="004436D3" w:rsidP="00630232">
            <w:pPr>
              <w:spacing w:after="160"/>
              <w:rPr>
                <w:rFonts w:eastAsia="Calibri" w:cs="Arial"/>
                <w:b/>
                <w:bCs/>
                <w:sz w:val="20"/>
              </w:rPr>
            </w:pPr>
            <w:r w:rsidRPr="006411D8">
              <w:rPr>
                <w:rFonts w:eastAsia="Calibri" w:cs="Arial"/>
                <w:b/>
                <w:bCs/>
                <w:sz w:val="20"/>
              </w:rPr>
              <w:t>Would you accept an electronic version of the RFP submitted electronically in zip file via secure transmission to a site hosted by Wisconsin on 4/22, with all printed material post stamped by 4/27 with a delivery to ETF of 4/29 by 2pm central?</w:t>
            </w:r>
          </w:p>
        </w:tc>
        <w:tc>
          <w:tcPr>
            <w:tcW w:w="5490" w:type="dxa"/>
            <w:shd w:val="clear" w:color="auto" w:fill="EEECE1" w:themeFill="background2"/>
          </w:tcPr>
          <w:p w14:paraId="087694A3" w14:textId="52533A05" w:rsidR="004436D3" w:rsidRPr="006411D8" w:rsidRDefault="004436D3" w:rsidP="00630232">
            <w:pPr>
              <w:spacing w:after="160"/>
              <w:rPr>
                <w:rFonts w:cs="Arial"/>
                <w:b/>
                <w:bCs/>
                <w:sz w:val="20"/>
              </w:rPr>
            </w:pPr>
            <w:r>
              <w:rPr>
                <w:b/>
                <w:bCs/>
                <w:color w:val="000000"/>
                <w:sz w:val="20"/>
              </w:rPr>
              <w:t>See Addendum 2.</w:t>
            </w:r>
          </w:p>
        </w:tc>
      </w:tr>
      <w:tr w:rsidR="004436D3" w:rsidRPr="0077031D" w14:paraId="66C8BAF0" w14:textId="77777777" w:rsidTr="00AC3150">
        <w:tc>
          <w:tcPr>
            <w:tcW w:w="720" w:type="dxa"/>
            <w:shd w:val="clear" w:color="auto" w:fill="DBE5F1" w:themeFill="accent1" w:themeFillTint="33"/>
          </w:tcPr>
          <w:p w14:paraId="15CAF719" w14:textId="77777777" w:rsidR="004436D3" w:rsidRPr="0077031D" w:rsidRDefault="004436D3" w:rsidP="00630232">
            <w:pPr>
              <w:spacing w:after="160"/>
              <w:jc w:val="both"/>
              <w:rPr>
                <w:rFonts w:eastAsia="Calibri" w:cs="Arial"/>
                <w:b/>
                <w:bCs/>
                <w:sz w:val="20"/>
              </w:rPr>
            </w:pPr>
            <w:bookmarkStart w:id="32" w:name="_Hlk35849333"/>
            <w:bookmarkEnd w:id="31"/>
            <w:r w:rsidRPr="0077031D">
              <w:rPr>
                <w:rFonts w:eastAsia="Calibri" w:cs="Arial"/>
                <w:b/>
                <w:bCs/>
                <w:sz w:val="20"/>
              </w:rPr>
              <w:t>Q55</w:t>
            </w:r>
          </w:p>
        </w:tc>
        <w:tc>
          <w:tcPr>
            <w:tcW w:w="1710" w:type="dxa"/>
            <w:shd w:val="clear" w:color="auto" w:fill="DBE5F1" w:themeFill="accent1" w:themeFillTint="33"/>
          </w:tcPr>
          <w:p w14:paraId="26763640" w14:textId="77777777" w:rsidR="004436D3" w:rsidRPr="0077031D" w:rsidRDefault="004436D3" w:rsidP="00630232">
            <w:pPr>
              <w:spacing w:after="160"/>
              <w:jc w:val="both"/>
              <w:rPr>
                <w:rFonts w:eastAsia="Calibri" w:cs="Arial"/>
                <w:b/>
                <w:bCs/>
                <w:sz w:val="20"/>
              </w:rPr>
            </w:pPr>
            <w:r w:rsidRPr="0077031D">
              <w:rPr>
                <w:rFonts w:eastAsia="Calibri" w:cs="Arial"/>
                <w:b/>
                <w:bCs/>
                <w:sz w:val="20"/>
              </w:rPr>
              <w:t>Appendix 7 #97-101</w:t>
            </w:r>
          </w:p>
        </w:tc>
        <w:tc>
          <w:tcPr>
            <w:tcW w:w="1710" w:type="dxa"/>
            <w:shd w:val="clear" w:color="auto" w:fill="DBE5F1" w:themeFill="accent1" w:themeFillTint="33"/>
          </w:tcPr>
          <w:p w14:paraId="200C099F" w14:textId="77777777" w:rsidR="004436D3" w:rsidRPr="0077031D" w:rsidRDefault="004436D3" w:rsidP="00630232">
            <w:pPr>
              <w:spacing w:after="160"/>
              <w:jc w:val="both"/>
              <w:rPr>
                <w:rFonts w:eastAsia="Calibri" w:cs="Arial"/>
                <w:b/>
                <w:bCs/>
                <w:sz w:val="20"/>
              </w:rPr>
            </w:pPr>
            <w:r w:rsidRPr="0077031D">
              <w:rPr>
                <w:rFonts w:eastAsia="Calibri" w:cs="Arial"/>
                <w:b/>
                <w:bCs/>
                <w:sz w:val="20"/>
              </w:rPr>
              <w:t>9 of 33</w:t>
            </w:r>
          </w:p>
        </w:tc>
        <w:tc>
          <w:tcPr>
            <w:tcW w:w="3420" w:type="dxa"/>
            <w:shd w:val="clear" w:color="auto" w:fill="DBE5F1" w:themeFill="accent1" w:themeFillTint="33"/>
          </w:tcPr>
          <w:p w14:paraId="08D9E079" w14:textId="77777777" w:rsidR="004436D3" w:rsidRPr="0077031D" w:rsidRDefault="004436D3" w:rsidP="00630232">
            <w:pPr>
              <w:pStyle w:val="ListParagraph"/>
              <w:numPr>
                <w:ilvl w:val="0"/>
                <w:numId w:val="14"/>
              </w:numPr>
              <w:spacing w:after="160" w:line="259" w:lineRule="auto"/>
              <w:rPr>
                <w:rFonts w:eastAsia="Yu Mincho" w:cs="Arial"/>
                <w:b/>
                <w:bCs/>
                <w:sz w:val="20"/>
              </w:rPr>
            </w:pPr>
            <w:r w:rsidRPr="0077031D">
              <w:rPr>
                <w:rFonts w:eastAsia="Arial" w:cs="Arial"/>
                <w:b/>
                <w:bCs/>
                <w:sz w:val="20"/>
              </w:rPr>
              <w:t xml:space="preserve">How does ETF perform this function today?  Is this performed by the current eligibility and enrollment system </w:t>
            </w:r>
            <w:r w:rsidRPr="0077031D">
              <w:rPr>
                <w:rFonts w:eastAsia="Arial" w:cs="Arial"/>
                <w:b/>
                <w:bCs/>
                <w:sz w:val="20"/>
              </w:rPr>
              <w:lastRenderedPageBreak/>
              <w:t xml:space="preserve">provider, employer payroll departments, combination of both, separate vendor, etc.?  </w:t>
            </w:r>
          </w:p>
          <w:p w14:paraId="29852EEA" w14:textId="77777777" w:rsidR="004436D3" w:rsidRPr="0077031D" w:rsidRDefault="004436D3" w:rsidP="00630232">
            <w:pPr>
              <w:pStyle w:val="ListParagraph"/>
              <w:numPr>
                <w:ilvl w:val="0"/>
                <w:numId w:val="14"/>
              </w:numPr>
              <w:spacing w:after="160" w:line="259" w:lineRule="auto"/>
              <w:rPr>
                <w:rFonts w:eastAsia="Calibri" w:cs="Arial"/>
                <w:b/>
                <w:bCs/>
                <w:sz w:val="20"/>
              </w:rPr>
            </w:pPr>
            <w:r w:rsidRPr="0077031D">
              <w:rPr>
                <w:rFonts w:eastAsia="Arial" w:cs="Arial"/>
                <w:b/>
                <w:bCs/>
                <w:sz w:val="20"/>
              </w:rPr>
              <w:t>Do the sick leave hours come in from one source or multiple? i.e., data comes collected from retiree system –vs- comes individually from each employer?</w:t>
            </w:r>
          </w:p>
          <w:p w14:paraId="7565A03F" w14:textId="77777777" w:rsidR="004436D3" w:rsidRPr="0077031D" w:rsidRDefault="004436D3" w:rsidP="00630232">
            <w:pPr>
              <w:pStyle w:val="ListParagraph"/>
              <w:numPr>
                <w:ilvl w:val="0"/>
                <w:numId w:val="14"/>
              </w:numPr>
              <w:spacing w:after="160" w:line="259" w:lineRule="auto"/>
              <w:rPr>
                <w:rFonts w:eastAsia="Calibri" w:cs="Arial"/>
                <w:b/>
                <w:bCs/>
                <w:sz w:val="20"/>
              </w:rPr>
            </w:pPr>
            <w:r w:rsidRPr="0077031D">
              <w:rPr>
                <w:rFonts w:eastAsia="Arial" w:cs="Arial"/>
                <w:b/>
                <w:bCs/>
                <w:sz w:val="20"/>
              </w:rPr>
              <w:t xml:space="preserve">What frequency does the employers perform the sick leave data transfer? Daily, weekly, monthly, quarterly, semi-annually, annually, one time and only when changes, etc.? </w:t>
            </w:r>
          </w:p>
          <w:p w14:paraId="56C1778A" w14:textId="0C6FB087" w:rsidR="004436D3" w:rsidRPr="0077031D" w:rsidRDefault="004436D3" w:rsidP="00630232">
            <w:pPr>
              <w:pStyle w:val="ListParagraph"/>
              <w:numPr>
                <w:ilvl w:val="0"/>
                <w:numId w:val="14"/>
              </w:numPr>
              <w:spacing w:after="160" w:line="259" w:lineRule="auto"/>
              <w:rPr>
                <w:rFonts w:eastAsia="Calibri" w:cs="Arial"/>
                <w:b/>
                <w:bCs/>
                <w:sz w:val="20"/>
              </w:rPr>
            </w:pPr>
            <w:r w:rsidRPr="0077031D">
              <w:rPr>
                <w:rFonts w:eastAsia="Arial" w:cs="Arial"/>
                <w:b/>
                <w:bCs/>
                <w:sz w:val="20"/>
              </w:rPr>
              <w:t>Are any of the employers going to submit sick leave balance data manually, and if so, how many and how often?</w:t>
            </w:r>
          </w:p>
          <w:p w14:paraId="5713BD47" w14:textId="77777777" w:rsidR="004436D3" w:rsidRPr="0077031D" w:rsidRDefault="004436D3" w:rsidP="00630232">
            <w:pPr>
              <w:pStyle w:val="ListParagraph"/>
              <w:numPr>
                <w:ilvl w:val="0"/>
                <w:numId w:val="14"/>
              </w:numPr>
              <w:spacing w:after="160" w:line="259" w:lineRule="auto"/>
              <w:rPr>
                <w:rFonts w:eastAsia="Calibri" w:cs="Arial"/>
                <w:b/>
                <w:bCs/>
                <w:sz w:val="20"/>
              </w:rPr>
            </w:pPr>
            <w:r w:rsidRPr="0077031D">
              <w:rPr>
                <w:rFonts w:eastAsia="Arial" w:cs="Arial"/>
                <w:b/>
                <w:bCs/>
                <w:sz w:val="20"/>
              </w:rPr>
              <w:t xml:space="preserve">Will the vendor be required to setup an outside bank account for this process or will the vendor receive access to a state managed and </w:t>
            </w:r>
            <w:r w:rsidRPr="0077031D">
              <w:rPr>
                <w:rFonts w:eastAsia="Arial" w:cs="Arial"/>
                <w:b/>
                <w:bCs/>
                <w:sz w:val="20"/>
              </w:rPr>
              <w:lastRenderedPageBreak/>
              <w:t xml:space="preserve">dedicated account to manage the fund transfers for premium offsets? </w:t>
            </w:r>
          </w:p>
          <w:p w14:paraId="2B5125F6" w14:textId="77777777" w:rsidR="004436D3" w:rsidRPr="0077031D" w:rsidRDefault="004436D3" w:rsidP="00630232">
            <w:pPr>
              <w:pStyle w:val="ListParagraph"/>
              <w:numPr>
                <w:ilvl w:val="0"/>
                <w:numId w:val="14"/>
              </w:numPr>
              <w:spacing w:after="160" w:line="259" w:lineRule="auto"/>
              <w:rPr>
                <w:rFonts w:eastAsia="Arial" w:cs="Arial"/>
                <w:b/>
                <w:bCs/>
                <w:sz w:val="20"/>
              </w:rPr>
            </w:pPr>
            <w:r w:rsidRPr="0077031D">
              <w:rPr>
                <w:rFonts w:eastAsia="Arial" w:cs="Arial"/>
                <w:b/>
                <w:bCs/>
                <w:sz w:val="20"/>
              </w:rPr>
              <w:t>Will the vendor be required to calculate sick leave balance dollar amounts or will the vendor receive dollar balances from each employer for each retiree? Example: John Doe’s information is sent over as $12,421 of sick leave funding or 815 hours of sick leave?</w:t>
            </w:r>
          </w:p>
          <w:p w14:paraId="632A07AF" w14:textId="77777777" w:rsidR="004436D3" w:rsidRPr="0077031D" w:rsidRDefault="004436D3" w:rsidP="00630232">
            <w:pPr>
              <w:pStyle w:val="ListParagraph"/>
              <w:numPr>
                <w:ilvl w:val="0"/>
                <w:numId w:val="14"/>
              </w:numPr>
              <w:spacing w:after="160" w:line="259" w:lineRule="auto"/>
              <w:rPr>
                <w:rFonts w:eastAsia="Calibri" w:cs="Arial"/>
                <w:b/>
                <w:bCs/>
                <w:sz w:val="20"/>
              </w:rPr>
            </w:pPr>
            <w:bookmarkStart w:id="33" w:name="_Hlk36133661"/>
            <w:r w:rsidRPr="0077031D">
              <w:rPr>
                <w:rFonts w:eastAsia="Arial" w:cs="Arial"/>
                <w:b/>
                <w:bCs/>
                <w:sz w:val="20"/>
              </w:rPr>
              <w:t>Will the vendor be required to perform collections if the employer certified amounts were submitted in error and the funds have already been depleted?</w:t>
            </w:r>
            <w:bookmarkEnd w:id="33"/>
          </w:p>
        </w:tc>
        <w:tc>
          <w:tcPr>
            <w:tcW w:w="5490" w:type="dxa"/>
            <w:shd w:val="clear" w:color="auto" w:fill="DBE5F1" w:themeFill="accent1" w:themeFillTint="33"/>
          </w:tcPr>
          <w:p w14:paraId="07FE89BA" w14:textId="26676643" w:rsidR="004436D3" w:rsidRPr="002464E4" w:rsidRDefault="004436D3" w:rsidP="00B934F8">
            <w:pPr>
              <w:spacing w:after="160"/>
              <w:rPr>
                <w:b/>
                <w:bCs/>
                <w:color w:val="000000"/>
                <w:sz w:val="20"/>
              </w:rPr>
            </w:pPr>
            <w:r w:rsidRPr="002464E4">
              <w:rPr>
                <w:b/>
                <w:bCs/>
                <w:color w:val="000000"/>
                <w:sz w:val="20"/>
              </w:rPr>
              <w:lastRenderedPageBreak/>
              <w:t xml:space="preserve">The details below describe the current processes for collecting and managing sick leave conversion credit accounts. We are interested in </w:t>
            </w:r>
            <w:r w:rsidRPr="002464E4">
              <w:rPr>
                <w:rFonts w:cs="Arial"/>
                <w:b/>
                <w:bCs/>
                <w:sz w:val="20"/>
              </w:rPr>
              <w:t>any capabilities the Proposer’s system offers to streamline, enhance, automate, and effectively manage these functions.</w:t>
            </w:r>
          </w:p>
          <w:p w14:paraId="70831E99" w14:textId="6D9F0137" w:rsidR="004436D3" w:rsidRPr="002464E4" w:rsidRDefault="004436D3" w:rsidP="00E64151">
            <w:pPr>
              <w:pStyle w:val="ListParagraph"/>
              <w:numPr>
                <w:ilvl w:val="0"/>
                <w:numId w:val="34"/>
              </w:numPr>
              <w:spacing w:after="160"/>
              <w:rPr>
                <w:b/>
                <w:bCs/>
                <w:color w:val="000000"/>
                <w:sz w:val="20"/>
              </w:rPr>
            </w:pPr>
            <w:r w:rsidRPr="002464E4">
              <w:rPr>
                <w:b/>
                <w:bCs/>
                <w:color w:val="000000"/>
                <w:sz w:val="20"/>
              </w:rPr>
              <w:lastRenderedPageBreak/>
              <w:t xml:space="preserve">Currently, state employer payroll departments manually enter a member’s information into AcSL, ETF’s current sick leave system, which then calculates the value of the sick leave account. </w:t>
            </w:r>
          </w:p>
          <w:p w14:paraId="073FF466" w14:textId="77777777" w:rsidR="004436D3" w:rsidRPr="002464E4" w:rsidRDefault="004436D3" w:rsidP="00E64151">
            <w:pPr>
              <w:pStyle w:val="ListParagraph"/>
              <w:spacing w:after="160"/>
              <w:rPr>
                <w:b/>
                <w:bCs/>
                <w:color w:val="000000"/>
                <w:sz w:val="20"/>
              </w:rPr>
            </w:pPr>
          </w:p>
          <w:p w14:paraId="24A46258" w14:textId="1ECE088C" w:rsidR="004436D3" w:rsidRPr="002464E4" w:rsidRDefault="004436D3" w:rsidP="00B934F8">
            <w:pPr>
              <w:pStyle w:val="ListParagraph"/>
              <w:spacing w:after="160"/>
              <w:ind w:left="360"/>
              <w:rPr>
                <w:b/>
                <w:bCs/>
                <w:color w:val="000000"/>
                <w:sz w:val="20"/>
              </w:rPr>
            </w:pPr>
            <w:r w:rsidRPr="002464E4">
              <w:rPr>
                <w:b/>
                <w:bCs/>
                <w:color w:val="000000"/>
                <w:sz w:val="20"/>
              </w:rPr>
              <w:t>Eligibility for a member to use the credits in a sick leave account to pay for post-retirement health insurance premiums is partially determined automatically by the system (based on validations and business rules) and partially through manual review and determination by employers and ETF staff.</w:t>
            </w:r>
          </w:p>
          <w:p w14:paraId="741B1A29" w14:textId="77777777" w:rsidR="004436D3" w:rsidRPr="002464E4" w:rsidRDefault="004436D3" w:rsidP="00B934F8">
            <w:pPr>
              <w:pStyle w:val="ListParagraph"/>
              <w:spacing w:after="160"/>
              <w:ind w:left="360"/>
              <w:rPr>
                <w:b/>
                <w:bCs/>
                <w:color w:val="000000"/>
                <w:sz w:val="20"/>
              </w:rPr>
            </w:pPr>
          </w:p>
          <w:p w14:paraId="64E9C012" w14:textId="142F2D5E" w:rsidR="004436D3" w:rsidRPr="002464E4" w:rsidRDefault="004436D3" w:rsidP="00221E7F">
            <w:pPr>
              <w:pStyle w:val="ListParagraph"/>
              <w:numPr>
                <w:ilvl w:val="0"/>
                <w:numId w:val="34"/>
              </w:numPr>
              <w:spacing w:after="160"/>
              <w:rPr>
                <w:b/>
                <w:bCs/>
                <w:color w:val="000000"/>
                <w:sz w:val="20"/>
              </w:rPr>
            </w:pPr>
            <w:r w:rsidRPr="002464E4">
              <w:rPr>
                <w:b/>
                <w:bCs/>
                <w:color w:val="000000"/>
                <w:sz w:val="20"/>
              </w:rPr>
              <w:t xml:space="preserve">The sick leave hours themselves, along with certain other relevant pieces of data needed to calculate the sick leave account values for eligible employees, are manually entered by individual employers into AcSL, as currently, this data exists solely in employer payroll systems. ETF does not currently have the functionality to capture and store that data within our existing systems to interface to AcSL, nor does AcSL have the capability to accept payroll data file transfers. </w:t>
            </w:r>
          </w:p>
          <w:p w14:paraId="7F80C277" w14:textId="09B15235" w:rsidR="004436D3" w:rsidRPr="002464E4" w:rsidRDefault="004436D3" w:rsidP="00942BB9">
            <w:pPr>
              <w:pStyle w:val="ListParagraph"/>
              <w:spacing w:after="160"/>
              <w:ind w:left="360"/>
              <w:rPr>
                <w:b/>
                <w:bCs/>
                <w:color w:val="000000"/>
                <w:sz w:val="20"/>
              </w:rPr>
            </w:pPr>
          </w:p>
          <w:p w14:paraId="72AB8235" w14:textId="206F58D2" w:rsidR="004436D3" w:rsidRPr="002464E4" w:rsidRDefault="004436D3" w:rsidP="00942BB9">
            <w:pPr>
              <w:pStyle w:val="ListParagraph"/>
              <w:spacing w:after="160"/>
              <w:ind w:left="360"/>
              <w:rPr>
                <w:b/>
                <w:bCs/>
                <w:color w:val="000000"/>
                <w:sz w:val="20"/>
              </w:rPr>
            </w:pPr>
            <w:r w:rsidRPr="002464E4">
              <w:rPr>
                <w:b/>
                <w:bCs/>
                <w:color w:val="000000"/>
                <w:sz w:val="20"/>
              </w:rPr>
              <w:t>If an eligible employee works for multiple employers under different payroll centers, each employer must individually enter and certify sick leave data in AcSL. In such situations, eligible sick leave, even from multiple employers, will ultimately populate a single sick leave account per member.</w:t>
            </w:r>
          </w:p>
          <w:p w14:paraId="08186112" w14:textId="77777777" w:rsidR="004436D3" w:rsidRPr="002464E4" w:rsidRDefault="004436D3" w:rsidP="007F7C97">
            <w:pPr>
              <w:pStyle w:val="ListParagraph"/>
              <w:spacing w:after="160"/>
              <w:ind w:left="360"/>
              <w:rPr>
                <w:b/>
                <w:bCs/>
                <w:color w:val="000000"/>
                <w:sz w:val="20"/>
              </w:rPr>
            </w:pPr>
          </w:p>
          <w:p w14:paraId="69B433DC" w14:textId="66D8CFE6" w:rsidR="004436D3" w:rsidRPr="002464E4" w:rsidRDefault="004436D3" w:rsidP="006D7AA3">
            <w:pPr>
              <w:pStyle w:val="ListParagraph"/>
              <w:spacing w:after="160"/>
              <w:ind w:left="360"/>
              <w:rPr>
                <w:b/>
                <w:bCs/>
                <w:color w:val="000000"/>
                <w:sz w:val="20"/>
              </w:rPr>
            </w:pPr>
            <w:r w:rsidRPr="002464E4">
              <w:rPr>
                <w:b/>
                <w:bCs/>
                <w:color w:val="000000"/>
                <w:sz w:val="20"/>
              </w:rPr>
              <w:t xml:space="preserve">ETF does house within our current legacy systems certain other pieces of data used to determine eligibility to use sick leave credits to pay premiums. Currently, some of this eligibility data interfaces between AcSL and corresponding legacy systems, while other data elements are looked up </w:t>
            </w:r>
            <w:r w:rsidRPr="002464E4">
              <w:rPr>
                <w:b/>
                <w:bCs/>
                <w:color w:val="000000"/>
                <w:sz w:val="20"/>
              </w:rPr>
              <w:lastRenderedPageBreak/>
              <w:t>manually by ETF staff as part of their sick leave processing activities.</w:t>
            </w:r>
          </w:p>
          <w:p w14:paraId="3731C7D5" w14:textId="77777777" w:rsidR="004436D3" w:rsidRPr="002464E4" w:rsidRDefault="004436D3" w:rsidP="006D7AA3">
            <w:pPr>
              <w:pStyle w:val="ListParagraph"/>
              <w:spacing w:after="160"/>
              <w:ind w:left="360"/>
              <w:rPr>
                <w:b/>
                <w:bCs/>
                <w:color w:val="000000"/>
                <w:sz w:val="20"/>
              </w:rPr>
            </w:pPr>
          </w:p>
          <w:p w14:paraId="45960B5D" w14:textId="7B9B6C84" w:rsidR="004436D3" w:rsidRPr="002464E4" w:rsidRDefault="004436D3" w:rsidP="006550BF">
            <w:pPr>
              <w:pStyle w:val="ListParagraph"/>
              <w:numPr>
                <w:ilvl w:val="0"/>
                <w:numId w:val="34"/>
              </w:numPr>
              <w:spacing w:after="160"/>
              <w:rPr>
                <w:b/>
                <w:bCs/>
                <w:color w:val="000000"/>
                <w:sz w:val="20"/>
              </w:rPr>
            </w:pPr>
            <w:r w:rsidRPr="002464E4">
              <w:rPr>
                <w:b/>
                <w:bCs/>
                <w:color w:val="000000"/>
                <w:sz w:val="20"/>
              </w:rPr>
              <w:t xml:space="preserve">Sick leave and related information is typically only entered by employers into AcSL one time – when a member retires or otherwise terminates as an eligible employee. Any necessary adjustments to this information can be entered by an employer at any time. </w:t>
            </w:r>
          </w:p>
          <w:p w14:paraId="0D108360" w14:textId="77777777" w:rsidR="004436D3" w:rsidRPr="002464E4" w:rsidRDefault="004436D3" w:rsidP="006550BF">
            <w:pPr>
              <w:pStyle w:val="ListParagraph"/>
              <w:spacing w:after="160"/>
              <w:ind w:left="360"/>
              <w:rPr>
                <w:b/>
                <w:bCs/>
                <w:color w:val="000000"/>
                <w:sz w:val="20"/>
              </w:rPr>
            </w:pPr>
          </w:p>
          <w:p w14:paraId="2212FDD0" w14:textId="3F3B79AE" w:rsidR="004436D3" w:rsidRPr="002464E4" w:rsidRDefault="004436D3" w:rsidP="00E83718">
            <w:pPr>
              <w:pStyle w:val="ListParagraph"/>
              <w:spacing w:after="160"/>
              <w:ind w:left="360"/>
              <w:rPr>
                <w:b/>
                <w:bCs/>
                <w:color w:val="000000"/>
                <w:sz w:val="20"/>
              </w:rPr>
            </w:pPr>
            <w:r w:rsidRPr="002464E4">
              <w:rPr>
                <w:b/>
                <w:bCs/>
                <w:color w:val="000000"/>
                <w:sz w:val="20"/>
              </w:rPr>
              <w:t xml:space="preserve">Certain employment situations (e.g., multiple eligible employers, return to work in an eligible position after retirement, etc.) may result in multiple employer sick leave certifications that need to ultimately populate a single sick leave account per member. </w:t>
            </w:r>
          </w:p>
          <w:p w14:paraId="67B7ECB0" w14:textId="77777777" w:rsidR="004436D3" w:rsidRPr="00861DAA" w:rsidRDefault="004436D3" w:rsidP="00E83718">
            <w:pPr>
              <w:pStyle w:val="ListParagraph"/>
              <w:spacing w:after="160"/>
              <w:ind w:left="360"/>
              <w:rPr>
                <w:b/>
                <w:bCs/>
                <w:color w:val="000000"/>
                <w:sz w:val="20"/>
              </w:rPr>
            </w:pPr>
          </w:p>
          <w:p w14:paraId="1D48C324" w14:textId="31CC7E17" w:rsidR="004436D3" w:rsidRPr="00861DAA" w:rsidRDefault="004436D3" w:rsidP="00E83718">
            <w:pPr>
              <w:pStyle w:val="ListParagraph"/>
              <w:numPr>
                <w:ilvl w:val="0"/>
                <w:numId w:val="34"/>
              </w:numPr>
              <w:spacing w:after="160"/>
              <w:rPr>
                <w:b/>
                <w:bCs/>
                <w:color w:val="000000"/>
                <w:sz w:val="20"/>
              </w:rPr>
            </w:pPr>
            <w:r w:rsidRPr="00861DAA">
              <w:rPr>
                <w:b/>
                <w:bCs/>
                <w:color w:val="000000"/>
                <w:sz w:val="20"/>
              </w:rPr>
              <w:t xml:space="preserve">Currently, all sick leave data is manually entered by employers into AcSL. We do not currently have the capability to upload payroll data file transfers of sick leave information into AcSL. </w:t>
            </w:r>
          </w:p>
          <w:p w14:paraId="255AE1E1" w14:textId="77777777" w:rsidR="004436D3" w:rsidRPr="00861DAA" w:rsidRDefault="004436D3" w:rsidP="00E83718">
            <w:pPr>
              <w:pStyle w:val="ListParagraph"/>
              <w:spacing w:after="160"/>
              <w:ind w:left="360"/>
              <w:rPr>
                <w:b/>
                <w:bCs/>
                <w:color w:val="000000"/>
                <w:sz w:val="20"/>
              </w:rPr>
            </w:pPr>
          </w:p>
          <w:p w14:paraId="14F017BA" w14:textId="6907AEEC" w:rsidR="004436D3" w:rsidRPr="00861DAA" w:rsidRDefault="004436D3" w:rsidP="009E3A04">
            <w:pPr>
              <w:pStyle w:val="ListParagraph"/>
              <w:spacing w:after="160"/>
              <w:ind w:left="360"/>
              <w:rPr>
                <w:b/>
                <w:bCs/>
                <w:color w:val="000000"/>
                <w:sz w:val="20"/>
              </w:rPr>
            </w:pPr>
            <w:r w:rsidRPr="00861DAA">
              <w:rPr>
                <w:b/>
                <w:bCs/>
                <w:color w:val="000000"/>
                <w:sz w:val="20"/>
              </w:rPr>
              <w:t>We would be interested in any capabilities the Proposer’s system offers to facilitate sick leave data upload from employers into the new IAS. However, even if such capabilities exist, there may still be some small state employers who need to ability to manually enter data for their employees. How many such employers there may be and how often they might need manual entry capabilities will depend on the new IAS system design.</w:t>
            </w:r>
          </w:p>
          <w:p w14:paraId="45D0198D" w14:textId="77777777" w:rsidR="004436D3" w:rsidRPr="00FB6707" w:rsidRDefault="004436D3" w:rsidP="009E3A04">
            <w:pPr>
              <w:pStyle w:val="ListParagraph"/>
              <w:spacing w:after="160"/>
              <w:ind w:left="360"/>
              <w:rPr>
                <w:b/>
                <w:bCs/>
                <w:sz w:val="20"/>
              </w:rPr>
            </w:pPr>
          </w:p>
          <w:p w14:paraId="3E53290A" w14:textId="77777777" w:rsidR="004436D3" w:rsidRPr="00FB6707" w:rsidRDefault="004436D3" w:rsidP="0007538D">
            <w:pPr>
              <w:pStyle w:val="ListParagraph"/>
              <w:numPr>
                <w:ilvl w:val="0"/>
                <w:numId w:val="34"/>
              </w:numPr>
              <w:spacing w:after="160"/>
              <w:rPr>
                <w:b/>
                <w:bCs/>
                <w:sz w:val="20"/>
              </w:rPr>
            </w:pPr>
            <w:r w:rsidRPr="00FB6707">
              <w:rPr>
                <w:b/>
                <w:bCs/>
                <w:sz w:val="20"/>
              </w:rPr>
              <w:t xml:space="preserve">No, an outside bank account will not be needed. ETF will continue to use STAR, our existing financial system, for financial transactions. </w:t>
            </w:r>
          </w:p>
          <w:p w14:paraId="7A7AAC61" w14:textId="77777777" w:rsidR="004436D3" w:rsidRPr="00FB6707" w:rsidRDefault="004436D3" w:rsidP="0007538D">
            <w:pPr>
              <w:pStyle w:val="ListParagraph"/>
              <w:spacing w:after="160"/>
              <w:ind w:left="360"/>
              <w:rPr>
                <w:b/>
                <w:bCs/>
                <w:sz w:val="20"/>
              </w:rPr>
            </w:pPr>
          </w:p>
          <w:p w14:paraId="0BE4648F" w14:textId="77777777" w:rsidR="004436D3" w:rsidRDefault="004436D3" w:rsidP="005D1F4D">
            <w:pPr>
              <w:pStyle w:val="ListParagraph"/>
              <w:spacing w:after="160"/>
              <w:ind w:left="360"/>
              <w:rPr>
                <w:rFonts w:cs="Arial"/>
                <w:b/>
                <w:bCs/>
                <w:sz w:val="20"/>
              </w:rPr>
            </w:pPr>
            <w:r w:rsidRPr="00FB6707">
              <w:rPr>
                <w:b/>
                <w:bCs/>
                <w:sz w:val="20"/>
              </w:rPr>
              <w:t xml:space="preserve">However, we </w:t>
            </w:r>
            <w:r>
              <w:rPr>
                <w:b/>
                <w:bCs/>
                <w:sz w:val="20"/>
              </w:rPr>
              <w:t>are interested in any capabilities the Proposer’s system offers to</w:t>
            </w:r>
            <w:r w:rsidRPr="00FB6707">
              <w:rPr>
                <w:b/>
                <w:bCs/>
                <w:sz w:val="20"/>
              </w:rPr>
              <w:t xml:space="preserve"> integrate financial-</w:t>
            </w:r>
            <w:r w:rsidRPr="00FB6707">
              <w:rPr>
                <w:b/>
                <w:bCs/>
                <w:sz w:val="20"/>
              </w:rPr>
              <w:lastRenderedPageBreak/>
              <w:t xml:space="preserve">related data with STAR and other systems to </w:t>
            </w:r>
            <w:r w:rsidRPr="00FB6707">
              <w:rPr>
                <w:rFonts w:cs="Arial"/>
                <w:b/>
                <w:bCs/>
                <w:sz w:val="20"/>
              </w:rPr>
              <w:t xml:space="preserve">compile and display financial-related information in a cohesive view. </w:t>
            </w:r>
          </w:p>
          <w:p w14:paraId="1AA90494" w14:textId="77777777" w:rsidR="004436D3" w:rsidRDefault="004436D3" w:rsidP="005D1F4D">
            <w:pPr>
              <w:pStyle w:val="ListParagraph"/>
              <w:spacing w:after="160"/>
              <w:ind w:left="360"/>
              <w:rPr>
                <w:rFonts w:cs="Arial"/>
                <w:b/>
                <w:bCs/>
                <w:sz w:val="20"/>
              </w:rPr>
            </w:pPr>
          </w:p>
          <w:p w14:paraId="1242CBAD" w14:textId="7B1ADB3B" w:rsidR="004436D3" w:rsidRPr="00FB6707" w:rsidRDefault="004436D3" w:rsidP="005D1F4D">
            <w:pPr>
              <w:pStyle w:val="ListParagraph"/>
              <w:spacing w:after="160"/>
              <w:ind w:left="360"/>
              <w:rPr>
                <w:b/>
                <w:bCs/>
                <w:sz w:val="20"/>
              </w:rPr>
            </w:pPr>
            <w:r w:rsidRPr="00FB6707">
              <w:rPr>
                <w:rFonts w:cs="Arial"/>
                <w:b/>
                <w:bCs/>
                <w:sz w:val="20"/>
              </w:rPr>
              <w:t xml:space="preserve">For example, invoicing will occur in IAS while payments will be processed in other systems. We would </w:t>
            </w:r>
            <w:r>
              <w:rPr>
                <w:rFonts w:cs="Arial"/>
                <w:b/>
                <w:bCs/>
                <w:sz w:val="20"/>
              </w:rPr>
              <w:t xml:space="preserve">be interested in any capabilities the Proposer’s system offers </w:t>
            </w:r>
            <w:r w:rsidRPr="00FB6707">
              <w:rPr>
                <w:b/>
                <w:bCs/>
                <w:sz w:val="20"/>
              </w:rPr>
              <w:t>to integrate that information into a comprehensive</w:t>
            </w:r>
            <w:r>
              <w:rPr>
                <w:b/>
                <w:bCs/>
                <w:sz w:val="20"/>
              </w:rPr>
              <w:t>, cohesive</w:t>
            </w:r>
            <w:r w:rsidRPr="00FB6707">
              <w:rPr>
                <w:b/>
                <w:bCs/>
                <w:sz w:val="20"/>
              </w:rPr>
              <w:t xml:space="preserve"> display that shows what was invoiced and paid, regardless of the system in which the activity occurred.</w:t>
            </w:r>
          </w:p>
          <w:p w14:paraId="5D59D42A" w14:textId="77777777" w:rsidR="004436D3" w:rsidRPr="00FB6707" w:rsidRDefault="004436D3" w:rsidP="00BA671B">
            <w:pPr>
              <w:pStyle w:val="ListParagraph"/>
              <w:spacing w:after="160"/>
              <w:ind w:left="360"/>
              <w:rPr>
                <w:b/>
                <w:bCs/>
                <w:sz w:val="20"/>
                <w:highlight w:val="yellow"/>
              </w:rPr>
            </w:pPr>
          </w:p>
          <w:p w14:paraId="1856A62A" w14:textId="60C1BEB5" w:rsidR="004436D3" w:rsidRPr="00FB6707" w:rsidRDefault="004436D3" w:rsidP="00BA671B">
            <w:pPr>
              <w:pStyle w:val="ListParagraph"/>
              <w:numPr>
                <w:ilvl w:val="0"/>
                <w:numId w:val="34"/>
              </w:numPr>
              <w:spacing w:after="160"/>
              <w:rPr>
                <w:b/>
                <w:bCs/>
                <w:color w:val="000000"/>
                <w:sz w:val="20"/>
              </w:rPr>
            </w:pPr>
            <w:r>
              <w:rPr>
                <w:b/>
                <w:bCs/>
                <w:color w:val="000000"/>
                <w:sz w:val="20"/>
              </w:rPr>
              <w:t>S</w:t>
            </w:r>
            <w:r w:rsidRPr="00FB6707">
              <w:rPr>
                <w:b/>
                <w:bCs/>
                <w:color w:val="000000"/>
                <w:sz w:val="20"/>
              </w:rPr>
              <w:t xml:space="preserve">ick leave account values </w:t>
            </w:r>
            <w:r>
              <w:rPr>
                <w:b/>
                <w:bCs/>
                <w:color w:val="000000"/>
                <w:sz w:val="20"/>
              </w:rPr>
              <w:t xml:space="preserve">are calculated </w:t>
            </w:r>
            <w:r w:rsidRPr="00FB6707">
              <w:rPr>
                <w:b/>
                <w:bCs/>
                <w:color w:val="000000"/>
                <w:sz w:val="20"/>
              </w:rPr>
              <w:t>based on multiple data elements, including, but not limited to, sick leave balance, highest rate of pay, additional “matched” hours derived from an eligibility table, and other factors.</w:t>
            </w:r>
          </w:p>
          <w:p w14:paraId="0ADB80BD" w14:textId="77777777" w:rsidR="004436D3" w:rsidRPr="004E1C20" w:rsidRDefault="004436D3" w:rsidP="00E65B0A">
            <w:pPr>
              <w:pStyle w:val="ListParagraph"/>
              <w:spacing w:after="160"/>
              <w:ind w:left="360"/>
              <w:rPr>
                <w:color w:val="000000"/>
                <w:sz w:val="20"/>
              </w:rPr>
            </w:pPr>
          </w:p>
          <w:p w14:paraId="5E75C30D" w14:textId="2FF3643F" w:rsidR="004436D3" w:rsidRPr="005853F8" w:rsidRDefault="004436D3" w:rsidP="005853F8">
            <w:pPr>
              <w:pStyle w:val="ListParagraph"/>
              <w:numPr>
                <w:ilvl w:val="0"/>
                <w:numId w:val="34"/>
              </w:numPr>
              <w:spacing w:after="160"/>
              <w:rPr>
                <w:rFonts w:cs="Arial"/>
                <w:b/>
                <w:bCs/>
                <w:sz w:val="20"/>
              </w:rPr>
            </w:pPr>
            <w:r w:rsidRPr="005853F8">
              <w:rPr>
                <w:b/>
                <w:bCs/>
                <w:color w:val="000000"/>
                <w:sz w:val="20"/>
              </w:rPr>
              <w:t xml:space="preserve">While the new IAS will not be expected to perform collections processes, we </w:t>
            </w:r>
            <w:r>
              <w:rPr>
                <w:b/>
                <w:bCs/>
                <w:color w:val="000000"/>
                <w:sz w:val="20"/>
              </w:rPr>
              <w:t xml:space="preserve">would be interested in any capabilities the Proposer’s system offers </w:t>
            </w:r>
            <w:r w:rsidRPr="005853F8">
              <w:rPr>
                <w:b/>
                <w:bCs/>
                <w:color w:val="000000"/>
                <w:sz w:val="20"/>
              </w:rPr>
              <w:t xml:space="preserve">to provide information regarding who, how much, why, etc., </w:t>
            </w:r>
            <w:r>
              <w:rPr>
                <w:b/>
                <w:bCs/>
                <w:color w:val="000000"/>
                <w:sz w:val="20"/>
              </w:rPr>
              <w:t>which could</w:t>
            </w:r>
            <w:r w:rsidRPr="005853F8">
              <w:rPr>
                <w:b/>
                <w:bCs/>
                <w:color w:val="000000"/>
                <w:sz w:val="20"/>
              </w:rPr>
              <w:t xml:space="preserve"> then be used by our existing accounts receivable processes to collect the overpayments. </w:t>
            </w:r>
          </w:p>
        </w:tc>
      </w:tr>
      <w:bookmarkEnd w:id="32"/>
      <w:tr w:rsidR="004436D3" w:rsidRPr="00265444" w14:paraId="756A317F" w14:textId="77777777" w:rsidTr="00AC3150">
        <w:tc>
          <w:tcPr>
            <w:tcW w:w="720" w:type="dxa"/>
            <w:shd w:val="clear" w:color="auto" w:fill="EEECE1" w:themeFill="background2"/>
          </w:tcPr>
          <w:p w14:paraId="3DB874A3" w14:textId="77777777" w:rsidR="004436D3" w:rsidRPr="00265444" w:rsidRDefault="004436D3" w:rsidP="00630232">
            <w:pPr>
              <w:spacing w:after="160"/>
              <w:jc w:val="both"/>
              <w:rPr>
                <w:rFonts w:eastAsia="Calibri" w:cs="Arial"/>
                <w:b/>
                <w:bCs/>
                <w:sz w:val="20"/>
              </w:rPr>
            </w:pPr>
            <w:r w:rsidRPr="00265444">
              <w:rPr>
                <w:rFonts w:eastAsia="Calibri" w:cs="Arial"/>
                <w:b/>
                <w:bCs/>
                <w:sz w:val="20"/>
              </w:rPr>
              <w:lastRenderedPageBreak/>
              <w:t>Q56</w:t>
            </w:r>
          </w:p>
        </w:tc>
        <w:tc>
          <w:tcPr>
            <w:tcW w:w="1710" w:type="dxa"/>
            <w:shd w:val="clear" w:color="auto" w:fill="EEECE1" w:themeFill="background2"/>
          </w:tcPr>
          <w:p w14:paraId="685F56D2" w14:textId="77777777" w:rsidR="004436D3" w:rsidRPr="00265444" w:rsidRDefault="004436D3" w:rsidP="00630232">
            <w:pPr>
              <w:spacing w:after="160"/>
              <w:jc w:val="both"/>
              <w:rPr>
                <w:rFonts w:eastAsia="Calibri" w:cs="Arial"/>
                <w:b/>
                <w:bCs/>
                <w:sz w:val="20"/>
              </w:rPr>
            </w:pPr>
            <w:r w:rsidRPr="00265444">
              <w:rPr>
                <w:rFonts w:eastAsia="Calibri" w:cs="Arial"/>
                <w:b/>
                <w:bCs/>
                <w:sz w:val="20"/>
              </w:rPr>
              <w:t>Appendix 7 #51</w:t>
            </w:r>
          </w:p>
        </w:tc>
        <w:tc>
          <w:tcPr>
            <w:tcW w:w="1710" w:type="dxa"/>
            <w:shd w:val="clear" w:color="auto" w:fill="EEECE1" w:themeFill="background2"/>
          </w:tcPr>
          <w:p w14:paraId="2C92ACAD" w14:textId="77777777" w:rsidR="004436D3" w:rsidRPr="00265444" w:rsidRDefault="004436D3" w:rsidP="00630232">
            <w:pPr>
              <w:spacing w:after="160"/>
              <w:jc w:val="both"/>
              <w:rPr>
                <w:rFonts w:eastAsia="Calibri" w:cs="Arial"/>
                <w:b/>
                <w:bCs/>
                <w:sz w:val="20"/>
              </w:rPr>
            </w:pPr>
            <w:r w:rsidRPr="00265444">
              <w:rPr>
                <w:rFonts w:eastAsia="Calibri" w:cs="Arial"/>
                <w:b/>
                <w:bCs/>
                <w:sz w:val="20"/>
              </w:rPr>
              <w:t>5 of 33</w:t>
            </w:r>
          </w:p>
        </w:tc>
        <w:tc>
          <w:tcPr>
            <w:tcW w:w="3420" w:type="dxa"/>
            <w:shd w:val="clear" w:color="auto" w:fill="EEECE1" w:themeFill="background2"/>
          </w:tcPr>
          <w:p w14:paraId="11F74264" w14:textId="77777777" w:rsidR="004436D3" w:rsidRPr="00265444" w:rsidRDefault="004436D3" w:rsidP="00630232">
            <w:pPr>
              <w:spacing w:after="160"/>
              <w:rPr>
                <w:rFonts w:eastAsia="Calibri" w:cs="Arial"/>
                <w:b/>
                <w:bCs/>
                <w:sz w:val="20"/>
              </w:rPr>
            </w:pPr>
            <w:r w:rsidRPr="00265444">
              <w:rPr>
                <w:rFonts w:eastAsia="Calibri" w:cs="Arial"/>
                <w:b/>
                <w:bCs/>
                <w:sz w:val="20"/>
              </w:rPr>
              <w:t>Is there a department, team, or centralized individual responsible for confirming a subscriber status has been moved to Death? Or does this take place across each employing unit per their own confirmation process?</w:t>
            </w:r>
          </w:p>
        </w:tc>
        <w:tc>
          <w:tcPr>
            <w:tcW w:w="5490" w:type="dxa"/>
            <w:shd w:val="clear" w:color="auto" w:fill="EEECE1" w:themeFill="background2"/>
          </w:tcPr>
          <w:p w14:paraId="682E4763" w14:textId="0C3DF738" w:rsidR="004436D3" w:rsidRPr="00265444" w:rsidRDefault="004436D3" w:rsidP="00630232">
            <w:pPr>
              <w:spacing w:after="160"/>
              <w:rPr>
                <w:rFonts w:cs="Arial"/>
                <w:b/>
                <w:bCs/>
                <w:sz w:val="20"/>
              </w:rPr>
            </w:pPr>
            <w:r w:rsidRPr="00265444">
              <w:rPr>
                <w:rFonts w:cs="Arial"/>
                <w:b/>
                <w:bCs/>
                <w:sz w:val="20"/>
              </w:rPr>
              <w:t xml:space="preserve">Currently, insurance-related death processing is split between multiple business areas at ETF, each responsible for different insurance benefits. </w:t>
            </w:r>
          </w:p>
          <w:p w14:paraId="55BAAC20" w14:textId="4B1F3DA5" w:rsidR="004436D3" w:rsidRPr="00265444" w:rsidRDefault="004436D3" w:rsidP="00630232">
            <w:pPr>
              <w:spacing w:after="160"/>
              <w:rPr>
                <w:rFonts w:cs="Arial"/>
                <w:b/>
                <w:bCs/>
                <w:sz w:val="20"/>
              </w:rPr>
            </w:pPr>
            <w:r w:rsidRPr="00265444">
              <w:rPr>
                <w:rFonts w:cs="Arial"/>
                <w:b/>
                <w:bCs/>
                <w:sz w:val="20"/>
              </w:rPr>
              <w:t xml:space="preserve">However, ETF is not wedded to this arrangement. If the Proposer’s system offers functionality for insurance-related death processing where automation, consolidation, and streamlining are possible, ETF is open to considering changes to our current operational assignments and division of duties. </w:t>
            </w:r>
          </w:p>
        </w:tc>
      </w:tr>
      <w:tr w:rsidR="004436D3" w:rsidRPr="006411D8" w14:paraId="788F7DCA" w14:textId="77777777" w:rsidTr="00AC3150">
        <w:tc>
          <w:tcPr>
            <w:tcW w:w="720" w:type="dxa"/>
            <w:shd w:val="clear" w:color="auto" w:fill="DBE5F1" w:themeFill="accent1" w:themeFillTint="33"/>
          </w:tcPr>
          <w:p w14:paraId="05F9C83B" w14:textId="77777777" w:rsidR="004436D3" w:rsidRPr="006411D8" w:rsidRDefault="004436D3" w:rsidP="00630232">
            <w:pPr>
              <w:spacing w:after="160"/>
              <w:jc w:val="both"/>
              <w:rPr>
                <w:rFonts w:eastAsia="Calibri" w:cs="Arial"/>
                <w:b/>
                <w:bCs/>
                <w:sz w:val="20"/>
              </w:rPr>
            </w:pPr>
            <w:r w:rsidRPr="006411D8">
              <w:rPr>
                <w:rFonts w:eastAsia="Calibri" w:cs="Arial"/>
                <w:b/>
                <w:bCs/>
                <w:sz w:val="20"/>
              </w:rPr>
              <w:lastRenderedPageBreak/>
              <w:t>Q57</w:t>
            </w:r>
          </w:p>
        </w:tc>
        <w:tc>
          <w:tcPr>
            <w:tcW w:w="1710" w:type="dxa"/>
            <w:shd w:val="clear" w:color="auto" w:fill="DBE5F1" w:themeFill="accent1" w:themeFillTint="33"/>
          </w:tcPr>
          <w:p w14:paraId="5A8332E8" w14:textId="77777777" w:rsidR="004436D3" w:rsidRPr="006411D8" w:rsidRDefault="004436D3" w:rsidP="00630232">
            <w:pPr>
              <w:spacing w:after="160"/>
              <w:jc w:val="both"/>
              <w:rPr>
                <w:rFonts w:eastAsia="Calibri" w:cs="Arial"/>
                <w:b/>
                <w:bCs/>
                <w:sz w:val="20"/>
              </w:rPr>
            </w:pPr>
            <w:r w:rsidRPr="006411D8">
              <w:rPr>
                <w:rFonts w:eastAsia="Calibri" w:cs="Arial"/>
                <w:b/>
                <w:bCs/>
                <w:sz w:val="20"/>
              </w:rPr>
              <w:t>ET10050</w:t>
            </w:r>
          </w:p>
        </w:tc>
        <w:tc>
          <w:tcPr>
            <w:tcW w:w="1710" w:type="dxa"/>
            <w:shd w:val="clear" w:color="auto" w:fill="DBE5F1" w:themeFill="accent1" w:themeFillTint="33"/>
          </w:tcPr>
          <w:p w14:paraId="7644E650" w14:textId="77777777" w:rsidR="004436D3" w:rsidRPr="006411D8" w:rsidRDefault="004436D3" w:rsidP="00630232">
            <w:pPr>
              <w:spacing w:after="160"/>
              <w:jc w:val="both"/>
              <w:rPr>
                <w:rFonts w:eastAsia="Calibri" w:cs="Arial"/>
                <w:b/>
                <w:bCs/>
                <w:sz w:val="20"/>
              </w:rPr>
            </w:pPr>
            <w:r w:rsidRPr="006411D8">
              <w:rPr>
                <w:rFonts w:eastAsia="Calibri" w:cs="Arial"/>
                <w:b/>
                <w:bCs/>
                <w:sz w:val="20"/>
              </w:rPr>
              <w:t>26 of 33</w:t>
            </w:r>
          </w:p>
        </w:tc>
        <w:tc>
          <w:tcPr>
            <w:tcW w:w="3420" w:type="dxa"/>
            <w:shd w:val="clear" w:color="auto" w:fill="DBE5F1" w:themeFill="accent1" w:themeFillTint="33"/>
          </w:tcPr>
          <w:p w14:paraId="4C448AD1" w14:textId="77777777" w:rsidR="004436D3" w:rsidRPr="006411D8" w:rsidRDefault="004436D3" w:rsidP="00630232">
            <w:pPr>
              <w:spacing w:after="160"/>
              <w:rPr>
                <w:rFonts w:eastAsia="Calibri" w:cs="Arial"/>
                <w:b/>
                <w:bCs/>
                <w:sz w:val="20"/>
              </w:rPr>
            </w:pPr>
            <w:r w:rsidRPr="006411D8">
              <w:rPr>
                <w:rFonts w:eastAsia="Calibri" w:cs="Arial"/>
                <w:b/>
                <w:bCs/>
                <w:sz w:val="20"/>
              </w:rPr>
              <w:t>How will the evaluation committee be organized? What departments of the ETF business will be represented on the committee?</w:t>
            </w:r>
          </w:p>
        </w:tc>
        <w:tc>
          <w:tcPr>
            <w:tcW w:w="5490" w:type="dxa"/>
            <w:shd w:val="clear" w:color="auto" w:fill="DBE5F1" w:themeFill="accent1" w:themeFillTint="33"/>
          </w:tcPr>
          <w:p w14:paraId="7C8E4239" w14:textId="6F66EC33" w:rsidR="004436D3" w:rsidRPr="006411D8" w:rsidRDefault="004436D3" w:rsidP="00630232">
            <w:pPr>
              <w:spacing w:after="160"/>
              <w:rPr>
                <w:rFonts w:cs="Arial"/>
                <w:b/>
                <w:bCs/>
                <w:sz w:val="20"/>
              </w:rPr>
            </w:pPr>
            <w:r w:rsidRPr="006411D8">
              <w:rPr>
                <w:b/>
                <w:bCs/>
                <w:color w:val="000000"/>
                <w:sz w:val="20"/>
              </w:rPr>
              <w:t xml:space="preserve">The evaluation committee is comprised of persons with technical and business knowledge. See State of Wisconsin Procurement Manual </w:t>
            </w:r>
            <w:hyperlink r:id="rId14" w:history="1">
              <w:r w:rsidRPr="006411D8">
                <w:rPr>
                  <w:rStyle w:val="Hyperlink"/>
                  <w:rFonts w:eastAsiaTheme="majorEastAsia"/>
                  <w:b/>
                  <w:bCs/>
                  <w:sz w:val="20"/>
                </w:rPr>
                <w:t>PRO-307</w:t>
              </w:r>
            </w:hyperlink>
            <w:r w:rsidRPr="006411D8">
              <w:rPr>
                <w:b/>
                <w:bCs/>
                <w:color w:val="000000"/>
              </w:rPr>
              <w:t>.</w:t>
            </w:r>
          </w:p>
        </w:tc>
      </w:tr>
      <w:tr w:rsidR="004436D3" w:rsidRPr="00C75BBE" w14:paraId="20CEDBB3" w14:textId="77777777" w:rsidTr="00AC3150">
        <w:tc>
          <w:tcPr>
            <w:tcW w:w="720" w:type="dxa"/>
            <w:shd w:val="clear" w:color="auto" w:fill="EEECE1" w:themeFill="background2"/>
          </w:tcPr>
          <w:p w14:paraId="33D99C9A" w14:textId="2194A17C" w:rsidR="004436D3" w:rsidRPr="00C75BBE" w:rsidRDefault="004436D3" w:rsidP="00630232">
            <w:pPr>
              <w:spacing w:after="160"/>
              <w:jc w:val="both"/>
              <w:rPr>
                <w:rFonts w:eastAsia="Calibri" w:cs="Arial"/>
                <w:b/>
                <w:bCs/>
                <w:sz w:val="20"/>
              </w:rPr>
            </w:pPr>
            <w:r w:rsidRPr="00C75BBE">
              <w:rPr>
                <w:rFonts w:eastAsia="Calibri" w:cs="Arial"/>
                <w:b/>
                <w:bCs/>
                <w:sz w:val="20"/>
              </w:rPr>
              <w:t>Q58</w:t>
            </w:r>
          </w:p>
        </w:tc>
        <w:tc>
          <w:tcPr>
            <w:tcW w:w="1710" w:type="dxa"/>
            <w:shd w:val="clear" w:color="auto" w:fill="EEECE1" w:themeFill="background2"/>
          </w:tcPr>
          <w:p w14:paraId="3E59A147" w14:textId="4E38464A" w:rsidR="004436D3" w:rsidRPr="00C75BBE" w:rsidRDefault="004436D3" w:rsidP="00630232">
            <w:pPr>
              <w:spacing w:after="160"/>
              <w:jc w:val="both"/>
              <w:rPr>
                <w:rFonts w:eastAsia="Calibri" w:cs="Arial"/>
                <w:b/>
                <w:bCs/>
                <w:sz w:val="20"/>
              </w:rPr>
            </w:pPr>
            <w:r w:rsidRPr="00C75BBE">
              <w:rPr>
                <w:rFonts w:eastAsia="Calibri" w:cs="Arial"/>
                <w:b/>
                <w:bCs/>
                <w:sz w:val="20"/>
              </w:rPr>
              <w:t>Appendix 4.1</w:t>
            </w:r>
          </w:p>
        </w:tc>
        <w:tc>
          <w:tcPr>
            <w:tcW w:w="1710" w:type="dxa"/>
            <w:shd w:val="clear" w:color="auto" w:fill="EEECE1" w:themeFill="background2"/>
          </w:tcPr>
          <w:p w14:paraId="0F8CF8C3" w14:textId="320C9D39" w:rsidR="004436D3" w:rsidRPr="00C75BBE" w:rsidRDefault="004436D3" w:rsidP="00630232">
            <w:pPr>
              <w:spacing w:after="160"/>
              <w:jc w:val="both"/>
              <w:rPr>
                <w:rFonts w:eastAsia="Calibri" w:cs="Arial"/>
                <w:b/>
                <w:bCs/>
                <w:sz w:val="20"/>
              </w:rPr>
            </w:pPr>
            <w:r w:rsidRPr="00C75BBE">
              <w:rPr>
                <w:rFonts w:eastAsia="Calibri" w:cs="Arial"/>
                <w:b/>
                <w:bCs/>
                <w:sz w:val="20"/>
              </w:rPr>
              <w:t xml:space="preserve">1 </w:t>
            </w:r>
          </w:p>
        </w:tc>
        <w:tc>
          <w:tcPr>
            <w:tcW w:w="3420" w:type="dxa"/>
            <w:shd w:val="clear" w:color="auto" w:fill="EEECE1" w:themeFill="background2"/>
          </w:tcPr>
          <w:p w14:paraId="55223C0D" w14:textId="77777777" w:rsidR="004436D3" w:rsidRPr="00C75BBE" w:rsidRDefault="004436D3" w:rsidP="00630232">
            <w:pPr>
              <w:jc w:val="both"/>
              <w:rPr>
                <w:rFonts w:cs="Arial"/>
                <w:b/>
                <w:bCs/>
                <w:sz w:val="20"/>
              </w:rPr>
            </w:pPr>
            <w:r w:rsidRPr="00C75BBE">
              <w:rPr>
                <w:rFonts w:cs="Arial"/>
                <w:b/>
                <w:bCs/>
                <w:sz w:val="20"/>
              </w:rPr>
              <w:t>In our delivery model, the solution is a product which is developed, maintained and customized outside the United States.  Implementation services such as requirements confirmation, design, testing and training are done in the United States.</w:t>
            </w:r>
          </w:p>
          <w:p w14:paraId="2E300DC2" w14:textId="1D66AFF1" w:rsidR="004436D3" w:rsidRPr="00C75BBE" w:rsidRDefault="004436D3" w:rsidP="00630232">
            <w:pPr>
              <w:spacing w:after="160"/>
              <w:rPr>
                <w:rFonts w:eastAsia="Calibri" w:cs="Arial"/>
                <w:b/>
                <w:bCs/>
                <w:sz w:val="20"/>
              </w:rPr>
            </w:pPr>
            <w:r w:rsidRPr="00C75BBE">
              <w:rPr>
                <w:rFonts w:cs="Arial"/>
                <w:b/>
                <w:bCs/>
                <w:sz w:val="20"/>
              </w:rPr>
              <w:t xml:space="preserve">Would this model meet the standard defined in Wis. Stat. § 16.705 (1r) or is there a process for requesting a variance on the requirement?  </w:t>
            </w:r>
          </w:p>
        </w:tc>
        <w:tc>
          <w:tcPr>
            <w:tcW w:w="5490" w:type="dxa"/>
            <w:shd w:val="clear" w:color="auto" w:fill="EEECE1" w:themeFill="background2"/>
          </w:tcPr>
          <w:p w14:paraId="0DEB66DD" w14:textId="5F27B161" w:rsidR="004436D3" w:rsidRPr="00C75BBE" w:rsidRDefault="004436D3" w:rsidP="00630232">
            <w:pPr>
              <w:rPr>
                <w:rFonts w:ascii="Calibri" w:hAnsi="Calibri"/>
                <w:b/>
                <w:bCs/>
                <w:sz w:val="20"/>
              </w:rPr>
            </w:pPr>
            <w:r w:rsidRPr="00C75BBE">
              <w:rPr>
                <w:b/>
                <w:bCs/>
                <w:color w:val="000000"/>
                <w:sz w:val="20"/>
              </w:rPr>
              <w:t xml:space="preserve">The requirement in Wis. Stat. § 16.705(1r) allows agencies to </w:t>
            </w:r>
            <w:r w:rsidRPr="00B74694">
              <w:rPr>
                <w:b/>
                <w:bCs/>
                <w:color w:val="000000"/>
                <w:sz w:val="20"/>
              </w:rPr>
              <w:t>“purchase contractual services only if those services are performed within the United States.” This</w:t>
            </w:r>
            <w:r w:rsidRPr="00C75BBE">
              <w:rPr>
                <w:b/>
                <w:bCs/>
                <w:color w:val="000000"/>
                <w:sz w:val="20"/>
              </w:rPr>
              <w:t xml:space="preserve"> requirement applies to all services performed. ETF will review proposals to determine whether the services meet the criteria of Wis. Stat. § 16.705 (1r). Please also see RFP Addendum 1.</w:t>
            </w:r>
          </w:p>
          <w:p w14:paraId="1AD5F0C6" w14:textId="77777777" w:rsidR="004436D3" w:rsidRPr="00C75BBE" w:rsidRDefault="004436D3" w:rsidP="00630232">
            <w:pPr>
              <w:rPr>
                <w:b/>
                <w:bCs/>
                <w:sz w:val="20"/>
              </w:rPr>
            </w:pPr>
          </w:p>
          <w:p w14:paraId="048C98CE" w14:textId="359A21F3" w:rsidR="004436D3" w:rsidRPr="001C0075" w:rsidRDefault="004436D3" w:rsidP="001C0075">
            <w:pPr>
              <w:rPr>
                <w:b/>
                <w:bCs/>
                <w:sz w:val="20"/>
              </w:rPr>
            </w:pPr>
            <w:r w:rsidRPr="00C75BBE">
              <w:rPr>
                <w:b/>
                <w:bCs/>
                <w:color w:val="000000"/>
                <w:sz w:val="20"/>
              </w:rPr>
              <w:t>There is no process for requesting a variance on the requirement, although there are exceptions to the criteria including those within the statute and exceptions for countries covered by the World Trade Organization Government Procurement Agreement.</w:t>
            </w:r>
          </w:p>
        </w:tc>
      </w:tr>
      <w:tr w:rsidR="004436D3" w:rsidRPr="002B1587" w14:paraId="56FD2274" w14:textId="77777777" w:rsidTr="00AC3150">
        <w:tc>
          <w:tcPr>
            <w:tcW w:w="720" w:type="dxa"/>
            <w:shd w:val="clear" w:color="auto" w:fill="DBE5F1" w:themeFill="accent1" w:themeFillTint="33"/>
          </w:tcPr>
          <w:p w14:paraId="3748E94D" w14:textId="6F87BA26" w:rsidR="004436D3" w:rsidRPr="002B1587" w:rsidRDefault="004436D3" w:rsidP="00630232">
            <w:pPr>
              <w:spacing w:after="160"/>
              <w:jc w:val="both"/>
              <w:rPr>
                <w:rFonts w:eastAsia="Calibri" w:cs="Arial"/>
                <w:b/>
                <w:bCs/>
                <w:sz w:val="20"/>
              </w:rPr>
            </w:pPr>
            <w:r w:rsidRPr="002B1587">
              <w:rPr>
                <w:rFonts w:eastAsia="Calibri" w:cs="Arial"/>
                <w:b/>
                <w:bCs/>
                <w:sz w:val="20"/>
              </w:rPr>
              <w:t>Q59</w:t>
            </w:r>
          </w:p>
        </w:tc>
        <w:tc>
          <w:tcPr>
            <w:tcW w:w="1710" w:type="dxa"/>
            <w:shd w:val="clear" w:color="auto" w:fill="DBE5F1" w:themeFill="accent1" w:themeFillTint="33"/>
          </w:tcPr>
          <w:p w14:paraId="29B2EE79" w14:textId="77777777" w:rsidR="004436D3" w:rsidRPr="002B1587" w:rsidRDefault="004436D3" w:rsidP="00630232">
            <w:pPr>
              <w:spacing w:after="160"/>
              <w:jc w:val="both"/>
              <w:rPr>
                <w:rFonts w:eastAsia="Calibri" w:cs="Arial"/>
                <w:b/>
                <w:bCs/>
                <w:sz w:val="20"/>
              </w:rPr>
            </w:pPr>
            <w:r w:rsidRPr="002B1587">
              <w:rPr>
                <w:rFonts w:eastAsia="Calibri" w:cs="Arial"/>
                <w:b/>
                <w:bCs/>
                <w:sz w:val="20"/>
              </w:rPr>
              <w:t>RFP Section 1.2.1</w:t>
            </w:r>
          </w:p>
          <w:p w14:paraId="2CFD7102" w14:textId="77777777" w:rsidR="004436D3" w:rsidRPr="002B1587" w:rsidRDefault="004436D3" w:rsidP="00630232">
            <w:pPr>
              <w:jc w:val="both"/>
              <w:rPr>
                <w:rFonts w:eastAsia="Calibri" w:cs="Arial"/>
                <w:b/>
                <w:bCs/>
                <w:sz w:val="20"/>
              </w:rPr>
            </w:pPr>
            <w:r w:rsidRPr="002B1587">
              <w:rPr>
                <w:rFonts w:eastAsia="Calibri" w:cs="Arial"/>
                <w:b/>
                <w:bCs/>
                <w:sz w:val="20"/>
              </w:rPr>
              <w:t xml:space="preserve">Systems Enterprise </w:t>
            </w:r>
          </w:p>
          <w:p w14:paraId="032B03DF" w14:textId="362A5654" w:rsidR="004436D3" w:rsidRPr="002B1587" w:rsidRDefault="004436D3" w:rsidP="00630232">
            <w:pPr>
              <w:jc w:val="both"/>
              <w:rPr>
                <w:rFonts w:eastAsia="Calibri" w:cs="Arial"/>
                <w:b/>
                <w:bCs/>
                <w:sz w:val="20"/>
              </w:rPr>
            </w:pPr>
            <w:r w:rsidRPr="002B1587">
              <w:rPr>
                <w:rFonts w:eastAsia="Calibri" w:cs="Arial"/>
                <w:b/>
                <w:bCs/>
                <w:sz w:val="20"/>
              </w:rPr>
              <w:t>Technology</w:t>
            </w:r>
          </w:p>
        </w:tc>
        <w:tc>
          <w:tcPr>
            <w:tcW w:w="1710" w:type="dxa"/>
            <w:shd w:val="clear" w:color="auto" w:fill="DBE5F1" w:themeFill="accent1" w:themeFillTint="33"/>
          </w:tcPr>
          <w:p w14:paraId="24402DC6" w14:textId="113EB4CD" w:rsidR="004436D3" w:rsidRPr="002B1587" w:rsidRDefault="004436D3" w:rsidP="00630232">
            <w:pPr>
              <w:spacing w:after="160"/>
              <w:jc w:val="both"/>
              <w:rPr>
                <w:rFonts w:eastAsia="Calibri" w:cs="Arial"/>
                <w:b/>
                <w:bCs/>
                <w:sz w:val="20"/>
              </w:rPr>
            </w:pPr>
            <w:r w:rsidRPr="002B1587">
              <w:rPr>
                <w:rFonts w:eastAsia="Calibri" w:cs="Arial"/>
                <w:b/>
                <w:bCs/>
                <w:sz w:val="20"/>
              </w:rPr>
              <w:t>4</w:t>
            </w:r>
          </w:p>
        </w:tc>
        <w:tc>
          <w:tcPr>
            <w:tcW w:w="3420" w:type="dxa"/>
            <w:shd w:val="clear" w:color="auto" w:fill="DBE5F1" w:themeFill="accent1" w:themeFillTint="33"/>
          </w:tcPr>
          <w:p w14:paraId="278F9DBA" w14:textId="77777777" w:rsidR="004436D3" w:rsidRPr="002B1587" w:rsidRDefault="004436D3" w:rsidP="00630232">
            <w:pPr>
              <w:tabs>
                <w:tab w:val="left" w:pos="3870"/>
                <w:tab w:val="left" w:pos="8550"/>
              </w:tabs>
              <w:rPr>
                <w:rFonts w:cs="Arial"/>
                <w:b/>
                <w:bCs/>
                <w:i/>
                <w:iCs/>
                <w:sz w:val="20"/>
              </w:rPr>
            </w:pPr>
            <w:r w:rsidRPr="002B1587">
              <w:rPr>
                <w:rFonts w:cs="Arial"/>
                <w:b/>
                <w:bCs/>
                <w:i/>
                <w:iCs/>
                <w:sz w:val="20"/>
              </w:rPr>
              <w:t>As part of an enterprise technology initiative, the Department is seeking a Contractor who solely, or through the use of one or more clearly defined and well-managed Subcontractors, can provide a commercial, off-the-shelf, IAS and the consulting services to assist the Department in implementing that solution.</w:t>
            </w:r>
          </w:p>
          <w:p w14:paraId="4BA2AD34" w14:textId="77777777" w:rsidR="004436D3" w:rsidRPr="002B1587" w:rsidRDefault="004436D3" w:rsidP="00630232">
            <w:pPr>
              <w:tabs>
                <w:tab w:val="left" w:pos="3870"/>
                <w:tab w:val="left" w:pos="8550"/>
              </w:tabs>
              <w:rPr>
                <w:rFonts w:cs="Arial"/>
                <w:b/>
                <w:bCs/>
                <w:i/>
                <w:iCs/>
                <w:sz w:val="20"/>
              </w:rPr>
            </w:pPr>
          </w:p>
          <w:p w14:paraId="4D28BB68" w14:textId="3ADB8C6B" w:rsidR="004436D3" w:rsidRPr="002B1587" w:rsidRDefault="004436D3" w:rsidP="00630232">
            <w:pPr>
              <w:jc w:val="both"/>
              <w:rPr>
                <w:rFonts w:cs="Arial"/>
                <w:b/>
                <w:bCs/>
                <w:sz w:val="20"/>
              </w:rPr>
            </w:pPr>
            <w:r w:rsidRPr="002B1587">
              <w:rPr>
                <w:rFonts w:cs="Arial"/>
                <w:b/>
                <w:bCs/>
                <w:sz w:val="20"/>
              </w:rPr>
              <w:t>Question: Please provide any cloud hosting subscription access the State of Wisconsin could provide to the Department for the IAS solution.</w:t>
            </w:r>
          </w:p>
        </w:tc>
        <w:tc>
          <w:tcPr>
            <w:tcW w:w="5490" w:type="dxa"/>
            <w:shd w:val="clear" w:color="auto" w:fill="DBE5F1" w:themeFill="accent1" w:themeFillTint="33"/>
          </w:tcPr>
          <w:p w14:paraId="2D8A61C8" w14:textId="77777777" w:rsidR="004436D3" w:rsidRDefault="004436D3" w:rsidP="00630232">
            <w:pPr>
              <w:spacing w:after="160"/>
              <w:rPr>
                <w:rFonts w:cs="Arial"/>
                <w:b/>
                <w:bCs/>
                <w:sz w:val="20"/>
              </w:rPr>
            </w:pPr>
            <w:r w:rsidRPr="000E139F">
              <w:rPr>
                <w:rFonts w:cs="Arial"/>
                <w:b/>
                <w:bCs/>
                <w:sz w:val="20"/>
              </w:rPr>
              <w:t xml:space="preserve">ETF </w:t>
            </w:r>
            <w:r>
              <w:rPr>
                <w:rFonts w:cs="Arial"/>
                <w:b/>
                <w:bCs/>
                <w:sz w:val="20"/>
              </w:rPr>
              <w:t>can</w:t>
            </w:r>
            <w:r w:rsidRPr="000E139F">
              <w:rPr>
                <w:rFonts w:cs="Arial"/>
                <w:b/>
                <w:bCs/>
                <w:sz w:val="20"/>
              </w:rPr>
              <w:t xml:space="preserve"> procure</w:t>
            </w:r>
            <w:r>
              <w:rPr>
                <w:rFonts w:cs="Arial"/>
                <w:b/>
                <w:bCs/>
                <w:sz w:val="20"/>
              </w:rPr>
              <w:t>, through the Wisconsin Department of Administration Division of Enterprise Technology either</w:t>
            </w:r>
            <w:r w:rsidRPr="000E139F">
              <w:rPr>
                <w:rFonts w:cs="Arial"/>
                <w:b/>
                <w:bCs/>
                <w:sz w:val="20"/>
              </w:rPr>
              <w:t xml:space="preserve"> on-premise hosting in the state data center or cloud hosting services from the major providers. </w:t>
            </w:r>
          </w:p>
          <w:p w14:paraId="2EAA5149" w14:textId="3E73B7AE" w:rsidR="004436D3" w:rsidRPr="002B1587" w:rsidRDefault="004436D3" w:rsidP="00630232">
            <w:pPr>
              <w:spacing w:after="160"/>
              <w:rPr>
                <w:rFonts w:cs="Arial"/>
                <w:b/>
                <w:bCs/>
                <w:sz w:val="20"/>
              </w:rPr>
            </w:pPr>
            <w:r>
              <w:rPr>
                <w:rFonts w:cs="Arial"/>
                <w:b/>
                <w:bCs/>
                <w:sz w:val="20"/>
              </w:rPr>
              <w:t>V</w:t>
            </w:r>
            <w:r w:rsidRPr="000E139F">
              <w:rPr>
                <w:rFonts w:cs="Arial"/>
                <w:b/>
                <w:bCs/>
                <w:sz w:val="20"/>
              </w:rPr>
              <w:t>endor</w:t>
            </w:r>
            <w:r>
              <w:rPr>
                <w:rFonts w:cs="Arial"/>
                <w:b/>
                <w:bCs/>
                <w:sz w:val="20"/>
              </w:rPr>
              <w:t>s</w:t>
            </w:r>
            <w:r w:rsidRPr="000E139F">
              <w:rPr>
                <w:rFonts w:cs="Arial"/>
                <w:b/>
                <w:bCs/>
                <w:sz w:val="20"/>
              </w:rPr>
              <w:t xml:space="preserve"> </w:t>
            </w:r>
            <w:r>
              <w:rPr>
                <w:rFonts w:cs="Arial"/>
                <w:b/>
                <w:bCs/>
                <w:sz w:val="20"/>
              </w:rPr>
              <w:t>are</w:t>
            </w:r>
            <w:r w:rsidRPr="000E139F">
              <w:rPr>
                <w:rFonts w:cs="Arial"/>
                <w:b/>
                <w:bCs/>
                <w:sz w:val="20"/>
              </w:rPr>
              <w:t xml:space="preserve"> requested to indicate their preferred hosting option</w:t>
            </w:r>
            <w:r>
              <w:rPr>
                <w:rFonts w:cs="Arial"/>
                <w:b/>
                <w:bCs/>
                <w:sz w:val="20"/>
              </w:rPr>
              <w:t>,</w:t>
            </w:r>
            <w:r w:rsidRPr="000E139F">
              <w:rPr>
                <w:rFonts w:cs="Arial"/>
                <w:b/>
                <w:bCs/>
                <w:sz w:val="20"/>
              </w:rPr>
              <w:t xml:space="preserve"> which could include their own preferred hosting solution or one of the </w:t>
            </w:r>
            <w:r>
              <w:rPr>
                <w:rFonts w:cs="Arial"/>
                <w:b/>
                <w:bCs/>
                <w:sz w:val="20"/>
              </w:rPr>
              <w:t>S</w:t>
            </w:r>
            <w:r w:rsidRPr="000E139F">
              <w:rPr>
                <w:rFonts w:cs="Arial"/>
                <w:b/>
                <w:bCs/>
                <w:sz w:val="20"/>
              </w:rPr>
              <w:t>tate</w:t>
            </w:r>
            <w:r>
              <w:rPr>
                <w:rFonts w:cs="Arial"/>
                <w:b/>
                <w:bCs/>
                <w:sz w:val="20"/>
              </w:rPr>
              <w:t>-</w:t>
            </w:r>
            <w:r w:rsidRPr="000E139F">
              <w:rPr>
                <w:rFonts w:cs="Arial"/>
                <w:b/>
                <w:bCs/>
                <w:sz w:val="20"/>
              </w:rPr>
              <w:t xml:space="preserve">provided options </w:t>
            </w:r>
            <w:r>
              <w:rPr>
                <w:rFonts w:cs="Arial"/>
                <w:b/>
                <w:bCs/>
                <w:sz w:val="20"/>
              </w:rPr>
              <w:t xml:space="preserve">noted </w:t>
            </w:r>
            <w:r w:rsidRPr="000E139F">
              <w:rPr>
                <w:rFonts w:cs="Arial"/>
                <w:b/>
                <w:bCs/>
                <w:sz w:val="20"/>
              </w:rPr>
              <w:t>above</w:t>
            </w:r>
            <w:r>
              <w:rPr>
                <w:rFonts w:cs="Arial"/>
                <w:b/>
                <w:bCs/>
                <w:sz w:val="20"/>
              </w:rPr>
              <w:t>.</w:t>
            </w:r>
          </w:p>
        </w:tc>
      </w:tr>
      <w:tr w:rsidR="004436D3" w:rsidRPr="00C75BBE" w14:paraId="6A201FC5" w14:textId="77777777" w:rsidTr="00AC3150">
        <w:tc>
          <w:tcPr>
            <w:tcW w:w="720" w:type="dxa"/>
            <w:shd w:val="clear" w:color="auto" w:fill="EEECE1" w:themeFill="background2"/>
          </w:tcPr>
          <w:p w14:paraId="264D8F68" w14:textId="52EEED71" w:rsidR="004436D3" w:rsidRPr="00C75BBE" w:rsidRDefault="004436D3" w:rsidP="00630232">
            <w:pPr>
              <w:spacing w:after="160"/>
              <w:jc w:val="both"/>
              <w:rPr>
                <w:rFonts w:eastAsia="Calibri" w:cs="Arial"/>
                <w:b/>
                <w:bCs/>
                <w:sz w:val="20"/>
              </w:rPr>
            </w:pPr>
            <w:r w:rsidRPr="00C75BBE">
              <w:rPr>
                <w:rFonts w:eastAsia="Calibri" w:cs="Arial"/>
                <w:b/>
                <w:bCs/>
                <w:sz w:val="20"/>
              </w:rPr>
              <w:lastRenderedPageBreak/>
              <w:t>Q60</w:t>
            </w:r>
          </w:p>
        </w:tc>
        <w:tc>
          <w:tcPr>
            <w:tcW w:w="1710" w:type="dxa"/>
            <w:shd w:val="clear" w:color="auto" w:fill="EEECE1" w:themeFill="background2"/>
          </w:tcPr>
          <w:p w14:paraId="176F56F6" w14:textId="77777777" w:rsidR="004436D3" w:rsidRPr="00C75BBE" w:rsidRDefault="004436D3" w:rsidP="00630232">
            <w:pPr>
              <w:rPr>
                <w:rFonts w:cs="Arial"/>
                <w:b/>
                <w:bCs/>
                <w:sz w:val="20"/>
              </w:rPr>
            </w:pPr>
            <w:r w:rsidRPr="00C75BBE">
              <w:rPr>
                <w:rFonts w:cs="Arial"/>
                <w:b/>
                <w:bCs/>
                <w:sz w:val="20"/>
              </w:rPr>
              <w:t xml:space="preserve">RFP Section </w:t>
            </w:r>
          </w:p>
          <w:p w14:paraId="2567CE18" w14:textId="77777777" w:rsidR="004436D3" w:rsidRPr="00C75BBE" w:rsidRDefault="004436D3" w:rsidP="00630232">
            <w:pPr>
              <w:spacing w:after="120"/>
              <w:rPr>
                <w:rFonts w:cs="Arial"/>
                <w:b/>
                <w:bCs/>
                <w:sz w:val="20"/>
              </w:rPr>
            </w:pPr>
            <w:r w:rsidRPr="00C75BBE">
              <w:rPr>
                <w:rFonts w:cs="Arial"/>
                <w:b/>
                <w:bCs/>
                <w:sz w:val="20"/>
              </w:rPr>
              <w:t>1.7</w:t>
            </w:r>
          </w:p>
          <w:p w14:paraId="1A5A4770" w14:textId="77777777" w:rsidR="004436D3" w:rsidRPr="00C75BBE" w:rsidRDefault="004436D3" w:rsidP="00630232">
            <w:pPr>
              <w:rPr>
                <w:rFonts w:cs="Arial"/>
                <w:b/>
                <w:bCs/>
                <w:sz w:val="20"/>
              </w:rPr>
            </w:pPr>
            <w:r w:rsidRPr="00C75BBE">
              <w:rPr>
                <w:rFonts w:cs="Arial"/>
                <w:b/>
                <w:bCs/>
                <w:sz w:val="20"/>
              </w:rPr>
              <w:t>Clarification of the Specifications and Requirements/Vendor</w:t>
            </w:r>
          </w:p>
          <w:p w14:paraId="14734990" w14:textId="77777777" w:rsidR="004436D3" w:rsidRPr="00C75BBE" w:rsidRDefault="004436D3" w:rsidP="00630232">
            <w:pPr>
              <w:rPr>
                <w:rFonts w:cs="Arial"/>
                <w:b/>
                <w:bCs/>
                <w:sz w:val="20"/>
              </w:rPr>
            </w:pPr>
            <w:r w:rsidRPr="00C75BBE">
              <w:rPr>
                <w:rFonts w:cs="Arial"/>
                <w:b/>
                <w:bCs/>
                <w:sz w:val="20"/>
              </w:rPr>
              <w:t>Questions and Clarifying Questions</w:t>
            </w:r>
          </w:p>
          <w:p w14:paraId="08834E2B" w14:textId="77777777" w:rsidR="004436D3" w:rsidRPr="00C75BBE" w:rsidRDefault="004436D3" w:rsidP="00630232">
            <w:pPr>
              <w:spacing w:after="160"/>
              <w:jc w:val="both"/>
              <w:rPr>
                <w:rFonts w:eastAsia="Calibri" w:cs="Arial"/>
                <w:b/>
                <w:bCs/>
                <w:sz w:val="20"/>
              </w:rPr>
            </w:pPr>
          </w:p>
        </w:tc>
        <w:tc>
          <w:tcPr>
            <w:tcW w:w="1710" w:type="dxa"/>
            <w:shd w:val="clear" w:color="auto" w:fill="EEECE1" w:themeFill="background2"/>
          </w:tcPr>
          <w:p w14:paraId="305A82BE" w14:textId="28512071" w:rsidR="004436D3" w:rsidRPr="00C75BBE" w:rsidRDefault="004436D3" w:rsidP="00630232">
            <w:pPr>
              <w:spacing w:after="160"/>
              <w:jc w:val="both"/>
              <w:rPr>
                <w:rFonts w:eastAsia="Calibri" w:cs="Arial"/>
                <w:b/>
                <w:bCs/>
                <w:sz w:val="20"/>
              </w:rPr>
            </w:pPr>
            <w:r w:rsidRPr="00C75BBE">
              <w:rPr>
                <w:rFonts w:eastAsia="Calibri" w:cs="Arial"/>
                <w:b/>
                <w:bCs/>
                <w:sz w:val="20"/>
              </w:rPr>
              <w:t>17</w:t>
            </w:r>
          </w:p>
        </w:tc>
        <w:tc>
          <w:tcPr>
            <w:tcW w:w="3420" w:type="dxa"/>
            <w:shd w:val="clear" w:color="auto" w:fill="EEECE1" w:themeFill="background2"/>
          </w:tcPr>
          <w:p w14:paraId="31AC4A63" w14:textId="77777777" w:rsidR="004436D3" w:rsidRPr="00C75BBE" w:rsidRDefault="004436D3" w:rsidP="00630232">
            <w:pPr>
              <w:spacing w:before="120" w:after="120"/>
              <w:rPr>
                <w:rFonts w:cs="Arial"/>
                <w:b/>
                <w:bCs/>
                <w:i/>
                <w:sz w:val="20"/>
              </w:rPr>
            </w:pPr>
            <w:r w:rsidRPr="00C75BBE">
              <w:rPr>
                <w:rFonts w:cs="Arial"/>
                <w:b/>
                <w:bCs/>
                <w:i/>
                <w:sz w:val="20"/>
              </w:rPr>
              <w:t>Vendors must submit all questions concerning this RFP via e-mail (no phone calls) to ETFSMBProcurement@etf.wi.gov. The subject of the e-mail must state “ETI0050” and the e-mail must be received on or before the date indicated in Section 1.10 Calendar of Events, Vendor Questions and Letter of Intent Due.</w:t>
            </w:r>
          </w:p>
          <w:p w14:paraId="39AE8F42" w14:textId="77777777" w:rsidR="004436D3" w:rsidRPr="00C75BBE" w:rsidRDefault="004436D3" w:rsidP="00630232">
            <w:pPr>
              <w:tabs>
                <w:tab w:val="left" w:pos="3870"/>
                <w:tab w:val="left" w:pos="8550"/>
              </w:tabs>
              <w:rPr>
                <w:rFonts w:cs="Arial"/>
                <w:b/>
                <w:bCs/>
                <w:sz w:val="20"/>
              </w:rPr>
            </w:pPr>
            <w:r w:rsidRPr="00C75BBE">
              <w:rPr>
                <w:rFonts w:cs="Arial"/>
                <w:b/>
                <w:bCs/>
                <w:sz w:val="20"/>
              </w:rPr>
              <w:t>Question: Please clarify if the Department would consider including a second opportunity to submit additional and follow-up questions.</w:t>
            </w:r>
          </w:p>
          <w:p w14:paraId="78BAA1E7" w14:textId="77777777" w:rsidR="004436D3" w:rsidRPr="00C75BBE" w:rsidRDefault="004436D3" w:rsidP="00630232">
            <w:pPr>
              <w:tabs>
                <w:tab w:val="left" w:pos="3870"/>
                <w:tab w:val="left" w:pos="8550"/>
              </w:tabs>
              <w:rPr>
                <w:rFonts w:cs="Arial"/>
                <w:b/>
                <w:bCs/>
                <w:sz w:val="20"/>
              </w:rPr>
            </w:pPr>
          </w:p>
          <w:p w14:paraId="1B567291" w14:textId="2AE20D56" w:rsidR="004436D3" w:rsidRPr="00C75BBE" w:rsidRDefault="004436D3" w:rsidP="00630232">
            <w:pPr>
              <w:tabs>
                <w:tab w:val="left" w:pos="3870"/>
                <w:tab w:val="left" w:pos="8550"/>
              </w:tabs>
              <w:rPr>
                <w:rFonts w:cs="Arial"/>
                <w:b/>
                <w:bCs/>
                <w:i/>
                <w:iCs/>
                <w:sz w:val="20"/>
              </w:rPr>
            </w:pPr>
            <w:r w:rsidRPr="00C75BBE">
              <w:rPr>
                <w:rFonts w:cs="Arial"/>
                <w:b/>
                <w:bCs/>
                <w:sz w:val="20"/>
              </w:rPr>
              <w:t>This request is based on the current disruption to normal business operations due to the Coronavirus COVID-19 pandemic.</w:t>
            </w:r>
          </w:p>
        </w:tc>
        <w:tc>
          <w:tcPr>
            <w:tcW w:w="5490" w:type="dxa"/>
            <w:shd w:val="clear" w:color="auto" w:fill="EEECE1" w:themeFill="background2"/>
          </w:tcPr>
          <w:p w14:paraId="5E75D959" w14:textId="7A505FEE" w:rsidR="004436D3" w:rsidRPr="00C75BBE" w:rsidRDefault="004436D3" w:rsidP="00630232">
            <w:pPr>
              <w:spacing w:after="160"/>
              <w:rPr>
                <w:rFonts w:cs="Arial"/>
                <w:b/>
                <w:bCs/>
                <w:sz w:val="20"/>
              </w:rPr>
            </w:pPr>
            <w:r w:rsidRPr="00C75BBE">
              <w:rPr>
                <w:b/>
                <w:bCs/>
                <w:color w:val="000000"/>
                <w:sz w:val="20"/>
              </w:rPr>
              <w:t>The Department will open the second round of vendor questions for the asking of any and all questions, instead of merely clarifying questions, to accommodate changes in normal business processes due to the pandemic.</w:t>
            </w:r>
          </w:p>
        </w:tc>
      </w:tr>
      <w:tr w:rsidR="004436D3" w:rsidRPr="00C75BBE" w14:paraId="343EA5EA" w14:textId="77777777" w:rsidTr="00AC3150">
        <w:tc>
          <w:tcPr>
            <w:tcW w:w="720" w:type="dxa"/>
            <w:shd w:val="clear" w:color="auto" w:fill="DBE5F1" w:themeFill="accent1" w:themeFillTint="33"/>
          </w:tcPr>
          <w:p w14:paraId="4D7AAAE5" w14:textId="69771E19" w:rsidR="004436D3" w:rsidRPr="00C75BBE" w:rsidRDefault="004436D3" w:rsidP="00630232">
            <w:pPr>
              <w:spacing w:after="160"/>
              <w:jc w:val="both"/>
              <w:rPr>
                <w:rFonts w:eastAsia="Calibri" w:cs="Arial"/>
                <w:b/>
                <w:bCs/>
                <w:sz w:val="20"/>
              </w:rPr>
            </w:pPr>
            <w:r w:rsidRPr="00C75BBE">
              <w:rPr>
                <w:rFonts w:eastAsia="Calibri" w:cs="Arial"/>
                <w:b/>
                <w:bCs/>
                <w:sz w:val="20"/>
              </w:rPr>
              <w:t>Q61</w:t>
            </w:r>
          </w:p>
        </w:tc>
        <w:tc>
          <w:tcPr>
            <w:tcW w:w="1710" w:type="dxa"/>
            <w:shd w:val="clear" w:color="auto" w:fill="DBE5F1" w:themeFill="accent1" w:themeFillTint="33"/>
          </w:tcPr>
          <w:p w14:paraId="2A11D4A5" w14:textId="77777777" w:rsidR="004436D3" w:rsidRPr="00C75BBE" w:rsidRDefault="004436D3" w:rsidP="00630232">
            <w:pPr>
              <w:spacing w:before="120" w:after="120"/>
              <w:jc w:val="both"/>
              <w:rPr>
                <w:rFonts w:cs="Arial"/>
                <w:b/>
                <w:bCs/>
                <w:sz w:val="20"/>
              </w:rPr>
            </w:pPr>
            <w:r w:rsidRPr="00C75BBE">
              <w:rPr>
                <w:rFonts w:cs="Arial"/>
                <w:b/>
                <w:bCs/>
                <w:sz w:val="20"/>
              </w:rPr>
              <w:t>RFP Section 2.4.1</w:t>
            </w:r>
          </w:p>
          <w:p w14:paraId="75FB0275" w14:textId="091788E0" w:rsidR="004436D3" w:rsidRPr="00C75BBE" w:rsidRDefault="004436D3" w:rsidP="00630232">
            <w:pPr>
              <w:rPr>
                <w:rFonts w:cs="Arial"/>
                <w:b/>
                <w:bCs/>
                <w:sz w:val="20"/>
              </w:rPr>
            </w:pPr>
            <w:r w:rsidRPr="00C75BBE">
              <w:rPr>
                <w:rFonts w:cs="Arial"/>
                <w:b/>
                <w:bCs/>
                <w:sz w:val="20"/>
              </w:rPr>
              <w:t>Format Requirements</w:t>
            </w:r>
          </w:p>
        </w:tc>
        <w:tc>
          <w:tcPr>
            <w:tcW w:w="1710" w:type="dxa"/>
            <w:shd w:val="clear" w:color="auto" w:fill="DBE5F1" w:themeFill="accent1" w:themeFillTint="33"/>
          </w:tcPr>
          <w:p w14:paraId="399A3897" w14:textId="00A1468E" w:rsidR="004436D3" w:rsidRPr="00C75BBE" w:rsidRDefault="004436D3" w:rsidP="00630232">
            <w:pPr>
              <w:spacing w:after="160"/>
              <w:jc w:val="both"/>
              <w:rPr>
                <w:rFonts w:eastAsia="Calibri" w:cs="Arial"/>
                <w:b/>
                <w:bCs/>
                <w:sz w:val="20"/>
              </w:rPr>
            </w:pPr>
            <w:r w:rsidRPr="00C75BBE">
              <w:rPr>
                <w:rFonts w:eastAsia="Calibri" w:cs="Arial"/>
                <w:b/>
                <w:bCs/>
                <w:sz w:val="20"/>
              </w:rPr>
              <w:t>22</w:t>
            </w:r>
          </w:p>
        </w:tc>
        <w:tc>
          <w:tcPr>
            <w:tcW w:w="3420" w:type="dxa"/>
            <w:shd w:val="clear" w:color="auto" w:fill="DBE5F1" w:themeFill="accent1" w:themeFillTint="33"/>
          </w:tcPr>
          <w:p w14:paraId="0F47A20B" w14:textId="77777777" w:rsidR="004436D3" w:rsidRPr="00C75BBE" w:rsidRDefault="004436D3" w:rsidP="00630232">
            <w:pPr>
              <w:spacing w:before="120" w:after="120"/>
              <w:rPr>
                <w:rFonts w:cs="Arial"/>
                <w:b/>
                <w:bCs/>
                <w:i/>
                <w:sz w:val="20"/>
              </w:rPr>
            </w:pPr>
            <w:r w:rsidRPr="00C75BBE">
              <w:rPr>
                <w:rFonts w:cs="Arial"/>
                <w:b/>
                <w:bCs/>
                <w:i/>
                <w:sz w:val="20"/>
              </w:rPr>
              <w:t xml:space="preserve">Re Instructions for TAB 2: </w:t>
            </w:r>
            <w:bookmarkStart w:id="34" w:name="_Hlk31186661"/>
            <w:r w:rsidRPr="00C75BBE">
              <w:rPr>
                <w:rFonts w:cs="Arial"/>
                <w:b/>
                <w:bCs/>
                <w:i/>
                <w:sz w:val="20"/>
              </w:rPr>
              <w:t>Include all documents requested in Appendix 6 – General Questionnaire and Appendix 7 – Technical Questionnaire immediately after the appendix requesting documentation and label the document provided with the section number it applies to.</w:t>
            </w:r>
            <w:bookmarkEnd w:id="34"/>
          </w:p>
          <w:p w14:paraId="6C79DCE2" w14:textId="4A202C34" w:rsidR="004436D3" w:rsidRPr="00C75BBE" w:rsidRDefault="004436D3" w:rsidP="00630232">
            <w:pPr>
              <w:spacing w:before="120" w:after="120"/>
              <w:rPr>
                <w:rFonts w:cs="Arial"/>
                <w:b/>
                <w:bCs/>
                <w:i/>
                <w:sz w:val="20"/>
              </w:rPr>
            </w:pPr>
            <w:r w:rsidRPr="00C75BBE">
              <w:rPr>
                <w:rFonts w:cs="Arial"/>
                <w:b/>
                <w:bCs/>
                <w:sz w:val="20"/>
              </w:rPr>
              <w:t xml:space="preserve">Question: Please clarify if a document requested applies to two different questions, is your preference that we include the document twice, or that we </w:t>
            </w:r>
            <w:r w:rsidRPr="00C75BBE">
              <w:rPr>
                <w:rFonts w:cs="Arial"/>
                <w:b/>
                <w:bCs/>
                <w:sz w:val="20"/>
              </w:rPr>
              <w:lastRenderedPageBreak/>
              <w:t>include it once and refer to it as required.</w:t>
            </w:r>
          </w:p>
        </w:tc>
        <w:tc>
          <w:tcPr>
            <w:tcW w:w="5490" w:type="dxa"/>
            <w:shd w:val="clear" w:color="auto" w:fill="DBE5F1" w:themeFill="accent1" w:themeFillTint="33"/>
          </w:tcPr>
          <w:p w14:paraId="1A1BB6C0" w14:textId="02885539" w:rsidR="004436D3" w:rsidRPr="00C75BBE" w:rsidRDefault="004436D3" w:rsidP="00630232">
            <w:pPr>
              <w:spacing w:after="160"/>
              <w:rPr>
                <w:rFonts w:cs="Arial"/>
                <w:b/>
                <w:bCs/>
                <w:sz w:val="20"/>
              </w:rPr>
            </w:pPr>
            <w:r w:rsidRPr="00C75BBE">
              <w:rPr>
                <w:b/>
                <w:bCs/>
                <w:color w:val="000000"/>
                <w:sz w:val="20"/>
              </w:rPr>
              <w:lastRenderedPageBreak/>
              <w:t>If a vendor document is being used to answer more than one ETF question in Appendix 6 and/or 7, only submit it once</w:t>
            </w:r>
            <w:r>
              <w:rPr>
                <w:b/>
                <w:bCs/>
                <w:color w:val="000000"/>
                <w:sz w:val="20"/>
              </w:rPr>
              <w:t>, after the first question to which it is responsive. R</w:t>
            </w:r>
            <w:r w:rsidRPr="00C75BBE">
              <w:rPr>
                <w:b/>
                <w:bCs/>
                <w:color w:val="000000"/>
                <w:sz w:val="20"/>
              </w:rPr>
              <w:t>efer to it</w:t>
            </w:r>
            <w:r>
              <w:rPr>
                <w:b/>
                <w:bCs/>
                <w:color w:val="000000"/>
                <w:sz w:val="20"/>
              </w:rPr>
              <w:t xml:space="preserve"> in subsequent questions,</w:t>
            </w:r>
            <w:r w:rsidRPr="00C75BBE">
              <w:rPr>
                <w:b/>
                <w:bCs/>
                <w:color w:val="000000"/>
                <w:sz w:val="20"/>
              </w:rPr>
              <w:t xml:space="preserve"> as required</w:t>
            </w:r>
            <w:r>
              <w:rPr>
                <w:b/>
                <w:bCs/>
                <w:color w:val="000000"/>
                <w:sz w:val="20"/>
              </w:rPr>
              <w:t xml:space="preserve">, and </w:t>
            </w:r>
            <w:r w:rsidRPr="00C75BBE">
              <w:rPr>
                <w:b/>
                <w:bCs/>
                <w:color w:val="000000"/>
                <w:sz w:val="20"/>
              </w:rPr>
              <w:t xml:space="preserve">label the document itself with all the sections of </w:t>
            </w:r>
            <w:r>
              <w:rPr>
                <w:b/>
                <w:bCs/>
                <w:color w:val="000000"/>
                <w:sz w:val="20"/>
              </w:rPr>
              <w:t xml:space="preserve">Appendix </w:t>
            </w:r>
            <w:r w:rsidRPr="00C75BBE">
              <w:rPr>
                <w:b/>
                <w:bCs/>
                <w:color w:val="000000"/>
                <w:sz w:val="20"/>
              </w:rPr>
              <w:t>6 and/or 7 to which it is responsive</w:t>
            </w:r>
            <w:r>
              <w:rPr>
                <w:b/>
                <w:bCs/>
                <w:color w:val="000000"/>
                <w:sz w:val="20"/>
              </w:rPr>
              <w:t>.</w:t>
            </w:r>
          </w:p>
        </w:tc>
      </w:tr>
      <w:tr w:rsidR="004436D3" w:rsidRPr="00C70F5F" w14:paraId="4433B489" w14:textId="77777777" w:rsidTr="00AC3150">
        <w:tc>
          <w:tcPr>
            <w:tcW w:w="720" w:type="dxa"/>
            <w:shd w:val="clear" w:color="auto" w:fill="EEECE1" w:themeFill="background2"/>
          </w:tcPr>
          <w:p w14:paraId="438E4FC1" w14:textId="74AA36CB" w:rsidR="004436D3" w:rsidRPr="00C70F5F" w:rsidRDefault="004436D3" w:rsidP="00630232">
            <w:pPr>
              <w:spacing w:after="160"/>
              <w:jc w:val="both"/>
              <w:rPr>
                <w:rFonts w:eastAsia="Calibri" w:cs="Arial"/>
                <w:b/>
                <w:bCs/>
                <w:sz w:val="20"/>
              </w:rPr>
            </w:pPr>
            <w:r w:rsidRPr="00C70F5F">
              <w:rPr>
                <w:rFonts w:eastAsia="Calibri" w:cs="Arial"/>
                <w:b/>
                <w:bCs/>
                <w:sz w:val="20"/>
              </w:rPr>
              <w:t>Q62</w:t>
            </w:r>
          </w:p>
        </w:tc>
        <w:tc>
          <w:tcPr>
            <w:tcW w:w="1710" w:type="dxa"/>
            <w:shd w:val="clear" w:color="auto" w:fill="EEECE1" w:themeFill="background2"/>
          </w:tcPr>
          <w:p w14:paraId="459686E4" w14:textId="6ACCD1A2" w:rsidR="004436D3" w:rsidRPr="00C70F5F" w:rsidRDefault="004436D3" w:rsidP="00630232">
            <w:pPr>
              <w:spacing w:before="120" w:after="120"/>
              <w:jc w:val="both"/>
              <w:rPr>
                <w:rFonts w:cs="Arial"/>
                <w:b/>
                <w:bCs/>
                <w:sz w:val="20"/>
              </w:rPr>
            </w:pPr>
            <w:r w:rsidRPr="00C70F5F">
              <w:rPr>
                <w:rFonts w:cs="Arial"/>
                <w:b/>
                <w:bCs/>
                <w:sz w:val="20"/>
              </w:rPr>
              <w:t>RFP</w:t>
            </w:r>
          </w:p>
        </w:tc>
        <w:tc>
          <w:tcPr>
            <w:tcW w:w="1710" w:type="dxa"/>
            <w:shd w:val="clear" w:color="auto" w:fill="EEECE1" w:themeFill="background2"/>
          </w:tcPr>
          <w:p w14:paraId="3AC1A242" w14:textId="441D6244" w:rsidR="004436D3" w:rsidRPr="00C70F5F" w:rsidRDefault="004436D3" w:rsidP="00630232">
            <w:pPr>
              <w:spacing w:after="160"/>
              <w:jc w:val="both"/>
              <w:rPr>
                <w:rFonts w:eastAsia="Calibri" w:cs="Arial"/>
                <w:b/>
                <w:bCs/>
                <w:sz w:val="20"/>
              </w:rPr>
            </w:pPr>
            <w:r w:rsidRPr="00C70F5F">
              <w:rPr>
                <w:rFonts w:eastAsia="Calibri" w:cs="Arial"/>
                <w:b/>
                <w:bCs/>
                <w:sz w:val="20"/>
              </w:rPr>
              <w:t>5-7</w:t>
            </w:r>
          </w:p>
        </w:tc>
        <w:tc>
          <w:tcPr>
            <w:tcW w:w="3420" w:type="dxa"/>
            <w:shd w:val="clear" w:color="auto" w:fill="EEECE1" w:themeFill="background2"/>
          </w:tcPr>
          <w:p w14:paraId="317A981E" w14:textId="17B828B7" w:rsidR="004436D3" w:rsidRPr="00C70F5F" w:rsidRDefault="004436D3" w:rsidP="00630232">
            <w:pPr>
              <w:spacing w:before="120" w:after="120"/>
              <w:rPr>
                <w:rFonts w:cs="Arial"/>
                <w:b/>
                <w:bCs/>
                <w:i/>
                <w:sz w:val="20"/>
              </w:rPr>
            </w:pPr>
            <w:r w:rsidRPr="00C70F5F">
              <w:rPr>
                <w:rFonts w:cs="Arial"/>
                <w:b/>
                <w:bCs/>
                <w:sz w:val="20"/>
              </w:rPr>
              <w:t>Can you please clarify the number of total eligible employees that will be solicited for annual enrollment?  Is the 261,302 enrolled in life insurance the total number of eligible employees for one or more plans?</w:t>
            </w:r>
          </w:p>
        </w:tc>
        <w:tc>
          <w:tcPr>
            <w:tcW w:w="5490" w:type="dxa"/>
            <w:shd w:val="clear" w:color="auto" w:fill="EEECE1" w:themeFill="background2"/>
          </w:tcPr>
          <w:p w14:paraId="12E1B98D" w14:textId="67E0A0F6" w:rsidR="004436D3" w:rsidRPr="00C70F5F" w:rsidRDefault="004436D3" w:rsidP="00630232">
            <w:pPr>
              <w:spacing w:after="160"/>
              <w:rPr>
                <w:rFonts w:cs="Arial"/>
                <w:b/>
                <w:bCs/>
                <w:sz w:val="20"/>
              </w:rPr>
            </w:pPr>
            <w:r w:rsidRPr="00C70F5F">
              <w:rPr>
                <w:rFonts w:cs="Arial"/>
                <w:b/>
                <w:bCs/>
                <w:sz w:val="20"/>
              </w:rPr>
              <w:t xml:space="preserve">Annual enrollment is specific to health and certain supplemental benefits. As of 12/31/19, there were 262,932 WRS-covered employees potentially eligible to apply for coverage during annual enrollment period. </w:t>
            </w:r>
          </w:p>
          <w:p w14:paraId="472A7E15" w14:textId="656C8D8E" w:rsidR="004436D3" w:rsidRPr="00C70F5F" w:rsidRDefault="004436D3" w:rsidP="00630232">
            <w:pPr>
              <w:spacing w:after="160"/>
              <w:rPr>
                <w:rFonts w:cs="Arial"/>
                <w:b/>
                <w:bCs/>
                <w:sz w:val="20"/>
              </w:rPr>
            </w:pPr>
            <w:r w:rsidRPr="00C70F5F">
              <w:rPr>
                <w:rFonts w:cs="Arial"/>
                <w:b/>
                <w:bCs/>
                <w:sz w:val="20"/>
              </w:rPr>
              <w:t xml:space="preserve">Currently, there are 261,302 participants in the life insurance program (Table 2 of the RFP). There is no annual enrollment period for life insurance. </w:t>
            </w:r>
          </w:p>
        </w:tc>
      </w:tr>
      <w:tr w:rsidR="004436D3" w:rsidRPr="00BF756C" w14:paraId="7A5FC737" w14:textId="77777777" w:rsidTr="00AC3150">
        <w:tc>
          <w:tcPr>
            <w:tcW w:w="720" w:type="dxa"/>
            <w:shd w:val="clear" w:color="auto" w:fill="DBE5F1" w:themeFill="accent1" w:themeFillTint="33"/>
          </w:tcPr>
          <w:p w14:paraId="00C09410" w14:textId="76730271" w:rsidR="004436D3" w:rsidRPr="00BF756C" w:rsidRDefault="004436D3" w:rsidP="00246B89">
            <w:pPr>
              <w:spacing w:after="160"/>
              <w:jc w:val="both"/>
              <w:rPr>
                <w:rFonts w:eastAsia="Calibri" w:cs="Arial"/>
                <w:b/>
                <w:bCs/>
                <w:sz w:val="20"/>
              </w:rPr>
            </w:pPr>
            <w:r w:rsidRPr="00BF756C">
              <w:rPr>
                <w:rFonts w:eastAsia="Calibri" w:cs="Arial"/>
                <w:b/>
                <w:bCs/>
                <w:sz w:val="20"/>
              </w:rPr>
              <w:t>Q63</w:t>
            </w:r>
          </w:p>
        </w:tc>
        <w:tc>
          <w:tcPr>
            <w:tcW w:w="1710" w:type="dxa"/>
            <w:shd w:val="clear" w:color="auto" w:fill="DBE5F1" w:themeFill="accent1" w:themeFillTint="33"/>
          </w:tcPr>
          <w:p w14:paraId="76FCE467" w14:textId="079E0E43" w:rsidR="004436D3" w:rsidRPr="00BF756C" w:rsidRDefault="004436D3" w:rsidP="00246B89">
            <w:pPr>
              <w:spacing w:before="120" w:after="120"/>
              <w:jc w:val="both"/>
              <w:rPr>
                <w:rFonts w:cs="Arial"/>
                <w:b/>
                <w:bCs/>
                <w:sz w:val="20"/>
              </w:rPr>
            </w:pPr>
            <w:r w:rsidRPr="00BF756C">
              <w:rPr>
                <w:rFonts w:cs="Arial"/>
                <w:b/>
                <w:bCs/>
                <w:sz w:val="20"/>
              </w:rPr>
              <w:t>RFP</w:t>
            </w:r>
          </w:p>
        </w:tc>
        <w:tc>
          <w:tcPr>
            <w:tcW w:w="1710" w:type="dxa"/>
            <w:shd w:val="clear" w:color="auto" w:fill="DBE5F1" w:themeFill="accent1" w:themeFillTint="33"/>
          </w:tcPr>
          <w:p w14:paraId="5ED34545" w14:textId="3E51B6FE" w:rsidR="004436D3" w:rsidRPr="00BF756C" w:rsidRDefault="004436D3" w:rsidP="00246B89">
            <w:pPr>
              <w:spacing w:after="160"/>
              <w:jc w:val="both"/>
              <w:rPr>
                <w:rFonts w:eastAsia="Calibri" w:cs="Arial"/>
                <w:b/>
                <w:bCs/>
                <w:sz w:val="20"/>
              </w:rPr>
            </w:pPr>
            <w:r w:rsidRPr="00BF756C">
              <w:rPr>
                <w:rFonts w:eastAsia="Calibri" w:cs="Arial"/>
                <w:b/>
                <w:bCs/>
                <w:sz w:val="20"/>
              </w:rPr>
              <w:t>5-7</w:t>
            </w:r>
          </w:p>
        </w:tc>
        <w:tc>
          <w:tcPr>
            <w:tcW w:w="3420" w:type="dxa"/>
            <w:shd w:val="clear" w:color="auto" w:fill="DBE5F1" w:themeFill="accent1" w:themeFillTint="33"/>
          </w:tcPr>
          <w:p w14:paraId="6A154533" w14:textId="48E0BFA7" w:rsidR="004436D3" w:rsidRPr="00BF756C" w:rsidRDefault="004436D3" w:rsidP="00246B89">
            <w:pPr>
              <w:spacing w:before="120" w:after="120"/>
              <w:rPr>
                <w:rFonts w:cs="Arial"/>
                <w:b/>
                <w:bCs/>
                <w:sz w:val="20"/>
              </w:rPr>
            </w:pPr>
            <w:r w:rsidRPr="00BF756C">
              <w:rPr>
                <w:rFonts w:cs="Arial"/>
                <w:b/>
                <w:bCs/>
                <w:sz w:val="20"/>
              </w:rPr>
              <w:t>Are eligible retirees included in Table 1 and Table 2?  If not, please provide the count of eligible retirees in scope for this RFP.</w:t>
            </w:r>
          </w:p>
        </w:tc>
        <w:tc>
          <w:tcPr>
            <w:tcW w:w="5490" w:type="dxa"/>
            <w:shd w:val="clear" w:color="auto" w:fill="DBE5F1" w:themeFill="accent1" w:themeFillTint="33"/>
          </w:tcPr>
          <w:p w14:paraId="036C6407" w14:textId="2EBCA542" w:rsidR="004436D3" w:rsidRPr="00BF756C" w:rsidRDefault="004436D3" w:rsidP="00246B89">
            <w:pPr>
              <w:spacing w:after="160"/>
              <w:rPr>
                <w:b/>
                <w:bCs/>
                <w:sz w:val="20"/>
              </w:rPr>
            </w:pPr>
            <w:r w:rsidRPr="00BF756C">
              <w:rPr>
                <w:b/>
                <w:bCs/>
                <w:sz w:val="20"/>
              </w:rPr>
              <w:t xml:space="preserve">The values in Tables 1 and 2 include enrolled retirees in those benefit programs. No all retirees are eligible to participate in all benefit programs. </w:t>
            </w:r>
          </w:p>
          <w:p w14:paraId="4D0CAD43" w14:textId="621F4106" w:rsidR="004436D3" w:rsidRPr="00BF756C" w:rsidRDefault="004436D3" w:rsidP="00BF756C">
            <w:pPr>
              <w:spacing w:after="160"/>
              <w:rPr>
                <w:rFonts w:cs="Arial"/>
                <w:b/>
                <w:bCs/>
                <w:sz w:val="20"/>
              </w:rPr>
            </w:pPr>
            <w:r w:rsidRPr="00BF756C">
              <w:rPr>
                <w:b/>
                <w:bCs/>
                <w:sz w:val="20"/>
              </w:rPr>
              <w:t xml:space="preserve">See response to question Q111a for details regarding eligible retirees in scope for this RFP. </w:t>
            </w:r>
          </w:p>
        </w:tc>
      </w:tr>
      <w:tr w:rsidR="004436D3" w:rsidRPr="005F3049" w14:paraId="1B8515A5" w14:textId="77777777" w:rsidTr="00AC3150">
        <w:tc>
          <w:tcPr>
            <w:tcW w:w="720" w:type="dxa"/>
            <w:shd w:val="clear" w:color="auto" w:fill="EEECE1" w:themeFill="background2"/>
          </w:tcPr>
          <w:p w14:paraId="46D129E4" w14:textId="6D97B998" w:rsidR="004436D3" w:rsidRPr="005F3049" w:rsidRDefault="004436D3" w:rsidP="00246B89">
            <w:pPr>
              <w:spacing w:after="160"/>
              <w:jc w:val="both"/>
              <w:rPr>
                <w:rFonts w:eastAsia="Calibri" w:cs="Arial"/>
                <w:b/>
                <w:bCs/>
                <w:sz w:val="20"/>
              </w:rPr>
            </w:pPr>
            <w:r w:rsidRPr="005F3049">
              <w:rPr>
                <w:rFonts w:eastAsia="Calibri" w:cs="Arial"/>
                <w:b/>
                <w:bCs/>
                <w:sz w:val="20"/>
              </w:rPr>
              <w:t>Q64</w:t>
            </w:r>
          </w:p>
        </w:tc>
        <w:tc>
          <w:tcPr>
            <w:tcW w:w="1710" w:type="dxa"/>
            <w:shd w:val="clear" w:color="auto" w:fill="EEECE1" w:themeFill="background2"/>
          </w:tcPr>
          <w:p w14:paraId="6140F37B" w14:textId="27331E3D" w:rsidR="004436D3" w:rsidRPr="005F3049" w:rsidRDefault="004436D3" w:rsidP="00246B89">
            <w:pPr>
              <w:spacing w:before="120" w:after="120"/>
              <w:jc w:val="both"/>
              <w:rPr>
                <w:rFonts w:cs="Arial"/>
                <w:b/>
                <w:bCs/>
                <w:sz w:val="20"/>
              </w:rPr>
            </w:pPr>
            <w:r w:rsidRPr="005F3049">
              <w:rPr>
                <w:rFonts w:cs="Arial"/>
                <w:b/>
                <w:bCs/>
                <w:sz w:val="20"/>
              </w:rPr>
              <w:t>RFP 1.10</w:t>
            </w:r>
          </w:p>
        </w:tc>
        <w:tc>
          <w:tcPr>
            <w:tcW w:w="1710" w:type="dxa"/>
            <w:shd w:val="clear" w:color="auto" w:fill="EEECE1" w:themeFill="background2"/>
          </w:tcPr>
          <w:p w14:paraId="13C9A5DB" w14:textId="1B6B6CA8" w:rsidR="004436D3" w:rsidRPr="005F3049" w:rsidRDefault="004436D3" w:rsidP="00246B89">
            <w:pPr>
              <w:spacing w:after="160"/>
              <w:jc w:val="both"/>
              <w:rPr>
                <w:rFonts w:eastAsia="Calibri" w:cs="Arial"/>
                <w:b/>
                <w:bCs/>
                <w:sz w:val="20"/>
              </w:rPr>
            </w:pPr>
            <w:r w:rsidRPr="005F3049">
              <w:rPr>
                <w:rFonts w:eastAsia="Calibri" w:cs="Arial"/>
                <w:b/>
                <w:bCs/>
                <w:sz w:val="20"/>
              </w:rPr>
              <w:t>16</w:t>
            </w:r>
          </w:p>
        </w:tc>
        <w:tc>
          <w:tcPr>
            <w:tcW w:w="3420" w:type="dxa"/>
            <w:shd w:val="clear" w:color="auto" w:fill="EEECE1" w:themeFill="background2"/>
          </w:tcPr>
          <w:p w14:paraId="39EC72D0" w14:textId="28E804C7" w:rsidR="004436D3" w:rsidRPr="005F3049" w:rsidRDefault="004436D3" w:rsidP="00246B89">
            <w:pPr>
              <w:spacing w:before="120" w:after="120"/>
              <w:rPr>
                <w:rFonts w:cs="Arial"/>
                <w:b/>
                <w:bCs/>
                <w:sz w:val="20"/>
              </w:rPr>
            </w:pPr>
            <w:r w:rsidRPr="005F3049">
              <w:rPr>
                <w:rFonts w:cs="Arial"/>
                <w:b/>
                <w:bCs/>
                <w:sz w:val="20"/>
              </w:rPr>
              <w:t>What is the intended live date of the system?  With contracting taking part in the 2</w:t>
            </w:r>
            <w:r w:rsidRPr="005F3049">
              <w:rPr>
                <w:rFonts w:cs="Arial"/>
                <w:b/>
                <w:bCs/>
                <w:sz w:val="20"/>
                <w:vertAlign w:val="superscript"/>
              </w:rPr>
              <w:t>nd</w:t>
            </w:r>
            <w:r w:rsidRPr="005F3049">
              <w:rPr>
                <w:rFonts w:cs="Arial"/>
                <w:b/>
                <w:bCs/>
                <w:sz w:val="20"/>
              </w:rPr>
              <w:t xml:space="preserve"> half of 2020, should we assume a system go-live during the 2</w:t>
            </w:r>
            <w:r w:rsidRPr="005F3049">
              <w:rPr>
                <w:rFonts w:cs="Arial"/>
                <w:b/>
                <w:bCs/>
                <w:sz w:val="20"/>
                <w:vertAlign w:val="superscript"/>
              </w:rPr>
              <w:t>nd</w:t>
            </w:r>
            <w:r w:rsidRPr="005F3049">
              <w:rPr>
                <w:rFonts w:cs="Arial"/>
                <w:b/>
                <w:bCs/>
                <w:sz w:val="20"/>
              </w:rPr>
              <w:t xml:space="preserve"> half of 2021?</w:t>
            </w:r>
          </w:p>
        </w:tc>
        <w:tc>
          <w:tcPr>
            <w:tcW w:w="5490" w:type="dxa"/>
            <w:shd w:val="clear" w:color="auto" w:fill="EEECE1" w:themeFill="background2"/>
          </w:tcPr>
          <w:p w14:paraId="3EFD6E81" w14:textId="7EC8504A" w:rsidR="004436D3" w:rsidRPr="005F3049" w:rsidRDefault="004436D3" w:rsidP="00246B89">
            <w:pPr>
              <w:spacing w:after="160"/>
              <w:rPr>
                <w:rFonts w:cs="Arial"/>
                <w:b/>
                <w:bCs/>
                <w:sz w:val="20"/>
              </w:rPr>
            </w:pPr>
            <w:r>
              <w:rPr>
                <w:rFonts w:cs="Arial"/>
                <w:b/>
                <w:bCs/>
                <w:sz w:val="20"/>
              </w:rPr>
              <w:t>See response to Q45 above.</w:t>
            </w:r>
          </w:p>
        </w:tc>
      </w:tr>
      <w:tr w:rsidR="004436D3" w:rsidRPr="007B1A00" w14:paraId="65CA36D8" w14:textId="77777777" w:rsidTr="00AC3150">
        <w:tc>
          <w:tcPr>
            <w:tcW w:w="720" w:type="dxa"/>
            <w:shd w:val="clear" w:color="auto" w:fill="DBE5F1" w:themeFill="accent1" w:themeFillTint="33"/>
          </w:tcPr>
          <w:p w14:paraId="5D974C17" w14:textId="239AAAF9" w:rsidR="004436D3" w:rsidRPr="00F5251C" w:rsidRDefault="004436D3" w:rsidP="00246B89">
            <w:pPr>
              <w:spacing w:after="160"/>
              <w:jc w:val="both"/>
              <w:rPr>
                <w:rFonts w:eastAsia="Calibri" w:cs="Arial"/>
                <w:b/>
                <w:bCs/>
                <w:sz w:val="20"/>
              </w:rPr>
            </w:pPr>
            <w:r w:rsidRPr="00F5251C">
              <w:rPr>
                <w:rFonts w:eastAsia="Calibri" w:cs="Arial"/>
                <w:b/>
                <w:bCs/>
                <w:sz w:val="20"/>
              </w:rPr>
              <w:t>Q65</w:t>
            </w:r>
          </w:p>
        </w:tc>
        <w:tc>
          <w:tcPr>
            <w:tcW w:w="1710" w:type="dxa"/>
            <w:shd w:val="clear" w:color="auto" w:fill="DBE5F1" w:themeFill="accent1" w:themeFillTint="33"/>
          </w:tcPr>
          <w:p w14:paraId="104EF097" w14:textId="35E1B875" w:rsidR="004436D3" w:rsidRPr="00F5251C" w:rsidRDefault="004436D3" w:rsidP="00246B89">
            <w:pPr>
              <w:spacing w:before="120" w:after="120"/>
              <w:jc w:val="both"/>
              <w:rPr>
                <w:rFonts w:cs="Arial"/>
                <w:b/>
                <w:bCs/>
                <w:sz w:val="20"/>
              </w:rPr>
            </w:pPr>
            <w:r w:rsidRPr="00F5251C">
              <w:rPr>
                <w:rFonts w:cs="Arial"/>
                <w:b/>
                <w:bCs/>
                <w:sz w:val="20"/>
              </w:rPr>
              <w:t>RFP</w:t>
            </w:r>
          </w:p>
        </w:tc>
        <w:tc>
          <w:tcPr>
            <w:tcW w:w="1710" w:type="dxa"/>
            <w:shd w:val="clear" w:color="auto" w:fill="DBE5F1" w:themeFill="accent1" w:themeFillTint="33"/>
          </w:tcPr>
          <w:p w14:paraId="3F70895A" w14:textId="2F6E2717" w:rsidR="004436D3" w:rsidRPr="00F5251C" w:rsidRDefault="004436D3" w:rsidP="00246B89">
            <w:pPr>
              <w:spacing w:after="160"/>
              <w:jc w:val="both"/>
              <w:rPr>
                <w:rFonts w:eastAsia="Calibri" w:cs="Arial"/>
                <w:b/>
                <w:bCs/>
                <w:sz w:val="20"/>
              </w:rPr>
            </w:pPr>
            <w:r w:rsidRPr="00F5251C">
              <w:rPr>
                <w:rFonts w:eastAsia="Calibri" w:cs="Arial"/>
                <w:b/>
                <w:bCs/>
                <w:sz w:val="20"/>
              </w:rPr>
              <w:t>5</w:t>
            </w:r>
          </w:p>
        </w:tc>
        <w:tc>
          <w:tcPr>
            <w:tcW w:w="3420" w:type="dxa"/>
            <w:shd w:val="clear" w:color="auto" w:fill="DBE5F1" w:themeFill="accent1" w:themeFillTint="33"/>
          </w:tcPr>
          <w:p w14:paraId="5B5219E2" w14:textId="133B0EFF" w:rsidR="004436D3" w:rsidRPr="00F5251C" w:rsidRDefault="004436D3" w:rsidP="00246B89">
            <w:pPr>
              <w:spacing w:before="120" w:after="120"/>
              <w:rPr>
                <w:rFonts w:cs="Arial"/>
                <w:b/>
                <w:bCs/>
                <w:sz w:val="20"/>
              </w:rPr>
            </w:pPr>
            <w:r w:rsidRPr="00F5251C">
              <w:rPr>
                <w:rFonts w:cs="Arial"/>
                <w:b/>
                <w:bCs/>
                <w:sz w:val="20"/>
              </w:rPr>
              <w:t>How many COBRA continuants (current count) are in scope for this RFP?</w:t>
            </w:r>
          </w:p>
        </w:tc>
        <w:tc>
          <w:tcPr>
            <w:tcW w:w="5490" w:type="dxa"/>
            <w:shd w:val="clear" w:color="auto" w:fill="DBE5F1" w:themeFill="accent1" w:themeFillTint="33"/>
          </w:tcPr>
          <w:p w14:paraId="77B7EB49" w14:textId="19CEBF5E" w:rsidR="004436D3" w:rsidRPr="00F5251C" w:rsidRDefault="004436D3" w:rsidP="00246B89">
            <w:pPr>
              <w:spacing w:after="160"/>
              <w:rPr>
                <w:rFonts w:cs="Arial"/>
                <w:b/>
                <w:bCs/>
                <w:sz w:val="20"/>
              </w:rPr>
            </w:pPr>
            <w:r>
              <w:rPr>
                <w:rFonts w:cs="Arial"/>
                <w:b/>
                <w:bCs/>
                <w:sz w:val="20"/>
              </w:rPr>
              <w:t>See response to question Q43 above.</w:t>
            </w:r>
          </w:p>
        </w:tc>
      </w:tr>
      <w:tr w:rsidR="004436D3" w:rsidRPr="007B1A00" w14:paraId="16CB0315" w14:textId="77777777" w:rsidTr="00AC3150">
        <w:tc>
          <w:tcPr>
            <w:tcW w:w="720" w:type="dxa"/>
            <w:shd w:val="clear" w:color="auto" w:fill="EEECE1" w:themeFill="background2"/>
          </w:tcPr>
          <w:p w14:paraId="03B88BF2" w14:textId="55741F78" w:rsidR="004436D3" w:rsidRPr="00F5251C" w:rsidRDefault="004436D3" w:rsidP="00246B89">
            <w:pPr>
              <w:spacing w:after="160"/>
              <w:jc w:val="both"/>
              <w:rPr>
                <w:rFonts w:eastAsia="Calibri" w:cs="Arial"/>
                <w:b/>
                <w:bCs/>
                <w:sz w:val="20"/>
              </w:rPr>
            </w:pPr>
            <w:r w:rsidRPr="00F5251C">
              <w:rPr>
                <w:rFonts w:eastAsia="Calibri" w:cs="Arial"/>
                <w:b/>
                <w:bCs/>
                <w:sz w:val="20"/>
              </w:rPr>
              <w:t>Q66</w:t>
            </w:r>
          </w:p>
        </w:tc>
        <w:tc>
          <w:tcPr>
            <w:tcW w:w="1710" w:type="dxa"/>
            <w:shd w:val="clear" w:color="auto" w:fill="EEECE1" w:themeFill="background2"/>
          </w:tcPr>
          <w:p w14:paraId="59DD6B4D" w14:textId="1FA9DE82" w:rsidR="004436D3" w:rsidRPr="00F5251C" w:rsidRDefault="004436D3" w:rsidP="00246B89">
            <w:pPr>
              <w:spacing w:before="120" w:after="120"/>
              <w:jc w:val="both"/>
              <w:rPr>
                <w:rFonts w:cs="Arial"/>
                <w:b/>
                <w:bCs/>
                <w:sz w:val="20"/>
              </w:rPr>
            </w:pPr>
            <w:r w:rsidRPr="00F5251C">
              <w:rPr>
                <w:rFonts w:cs="Arial"/>
                <w:b/>
                <w:bCs/>
                <w:sz w:val="20"/>
              </w:rPr>
              <w:t>RFP</w:t>
            </w:r>
          </w:p>
        </w:tc>
        <w:tc>
          <w:tcPr>
            <w:tcW w:w="1710" w:type="dxa"/>
            <w:shd w:val="clear" w:color="auto" w:fill="EEECE1" w:themeFill="background2"/>
          </w:tcPr>
          <w:p w14:paraId="1E6A4AA4" w14:textId="52C9D261" w:rsidR="004436D3" w:rsidRPr="00F5251C" w:rsidRDefault="004436D3" w:rsidP="00246B89">
            <w:pPr>
              <w:spacing w:after="160"/>
              <w:jc w:val="both"/>
              <w:rPr>
                <w:rFonts w:eastAsia="Calibri" w:cs="Arial"/>
                <w:b/>
                <w:bCs/>
                <w:sz w:val="20"/>
              </w:rPr>
            </w:pPr>
            <w:r w:rsidRPr="00F5251C">
              <w:rPr>
                <w:rFonts w:eastAsia="Calibri" w:cs="Arial"/>
                <w:b/>
                <w:bCs/>
                <w:sz w:val="20"/>
              </w:rPr>
              <w:t>4</w:t>
            </w:r>
          </w:p>
        </w:tc>
        <w:tc>
          <w:tcPr>
            <w:tcW w:w="3420" w:type="dxa"/>
            <w:shd w:val="clear" w:color="auto" w:fill="EEECE1" w:themeFill="background2"/>
          </w:tcPr>
          <w:p w14:paraId="6EBE2BC0" w14:textId="0536374C" w:rsidR="004436D3" w:rsidRPr="00F5251C" w:rsidRDefault="004436D3" w:rsidP="00246B89">
            <w:pPr>
              <w:spacing w:before="120" w:after="120"/>
              <w:rPr>
                <w:rFonts w:cs="Arial"/>
                <w:b/>
                <w:bCs/>
                <w:sz w:val="20"/>
              </w:rPr>
            </w:pPr>
            <w:r w:rsidRPr="00F5251C">
              <w:rPr>
                <w:rFonts w:cs="Arial"/>
                <w:b/>
                <w:bCs/>
                <w:sz w:val="20"/>
              </w:rPr>
              <w:t>Please confirm the number of eligible groups in scope for the RFP.  Is it all 1,500 employers or only the ones mentioned on page 4 – 50 State agencies, Legislature, UW System, UW Hospitals and Clinics Authority, and 378 local employers?</w:t>
            </w:r>
          </w:p>
        </w:tc>
        <w:tc>
          <w:tcPr>
            <w:tcW w:w="5490" w:type="dxa"/>
            <w:shd w:val="clear" w:color="auto" w:fill="EEECE1" w:themeFill="background2"/>
          </w:tcPr>
          <w:p w14:paraId="1990898D" w14:textId="433A2541" w:rsidR="004436D3" w:rsidRDefault="004436D3" w:rsidP="00246B89">
            <w:pPr>
              <w:spacing w:after="160"/>
              <w:rPr>
                <w:rFonts w:cs="Arial"/>
                <w:b/>
                <w:bCs/>
                <w:sz w:val="20"/>
              </w:rPr>
            </w:pPr>
            <w:r>
              <w:rPr>
                <w:rFonts w:cs="Arial"/>
                <w:b/>
                <w:bCs/>
                <w:sz w:val="20"/>
              </w:rPr>
              <w:t xml:space="preserve">Eligible groups in scope for this RFP include all 1,500 WRS employers and approximately 800-900 Non-WRS employers. However, not all employer groups currently offer insurance benefits, and, as described in question Q42, certain employers have opportunities to join and/or drop insurance benefit participation. </w:t>
            </w:r>
          </w:p>
          <w:p w14:paraId="10A14B1B" w14:textId="13E716AB" w:rsidR="004436D3" w:rsidRPr="00F5251C" w:rsidRDefault="004436D3" w:rsidP="00073135">
            <w:pPr>
              <w:spacing w:after="160"/>
              <w:rPr>
                <w:rFonts w:cs="Arial"/>
                <w:b/>
                <w:bCs/>
                <w:sz w:val="20"/>
              </w:rPr>
            </w:pPr>
            <w:r>
              <w:rPr>
                <w:rFonts w:cs="Arial"/>
                <w:b/>
                <w:bCs/>
                <w:sz w:val="20"/>
              </w:rPr>
              <w:lastRenderedPageBreak/>
              <w:t xml:space="preserve">As noted on page four (4) of the RFP, 50 state agencies and 378 local and non-WRS employers currently participate in the health insurance program. </w:t>
            </w:r>
          </w:p>
        </w:tc>
      </w:tr>
      <w:tr w:rsidR="004436D3" w:rsidRPr="00095924" w14:paraId="7ADE576F" w14:textId="77777777" w:rsidTr="00AC3150">
        <w:tc>
          <w:tcPr>
            <w:tcW w:w="720" w:type="dxa"/>
            <w:shd w:val="clear" w:color="auto" w:fill="DBE5F1" w:themeFill="accent1" w:themeFillTint="33"/>
          </w:tcPr>
          <w:p w14:paraId="485BC91C" w14:textId="14957BCB" w:rsidR="004436D3" w:rsidRPr="00095924" w:rsidRDefault="004436D3" w:rsidP="00246B89">
            <w:pPr>
              <w:spacing w:after="160"/>
              <w:jc w:val="both"/>
              <w:rPr>
                <w:rFonts w:eastAsia="Calibri" w:cs="Arial"/>
                <w:b/>
                <w:bCs/>
                <w:sz w:val="20"/>
              </w:rPr>
            </w:pPr>
            <w:r w:rsidRPr="00095924">
              <w:rPr>
                <w:rFonts w:eastAsia="Calibri" w:cs="Arial"/>
                <w:b/>
                <w:bCs/>
                <w:sz w:val="20"/>
              </w:rPr>
              <w:lastRenderedPageBreak/>
              <w:t>Q67</w:t>
            </w:r>
          </w:p>
        </w:tc>
        <w:tc>
          <w:tcPr>
            <w:tcW w:w="1710" w:type="dxa"/>
            <w:shd w:val="clear" w:color="auto" w:fill="DBE5F1" w:themeFill="accent1" w:themeFillTint="33"/>
          </w:tcPr>
          <w:p w14:paraId="043F1B6E" w14:textId="05139B66" w:rsidR="004436D3" w:rsidRPr="00095924" w:rsidRDefault="004436D3" w:rsidP="00246B89">
            <w:pPr>
              <w:spacing w:before="120" w:after="120"/>
              <w:jc w:val="both"/>
              <w:rPr>
                <w:rFonts w:cs="Arial"/>
                <w:b/>
                <w:bCs/>
                <w:sz w:val="20"/>
              </w:rPr>
            </w:pPr>
            <w:r w:rsidRPr="00095924">
              <w:rPr>
                <w:rFonts w:cs="Arial"/>
                <w:b/>
                <w:bCs/>
                <w:sz w:val="20"/>
              </w:rPr>
              <w:t>RFP</w:t>
            </w:r>
          </w:p>
        </w:tc>
        <w:tc>
          <w:tcPr>
            <w:tcW w:w="1710" w:type="dxa"/>
            <w:shd w:val="clear" w:color="auto" w:fill="DBE5F1" w:themeFill="accent1" w:themeFillTint="33"/>
          </w:tcPr>
          <w:p w14:paraId="040BFFCA" w14:textId="38C65837" w:rsidR="004436D3" w:rsidRPr="00095924" w:rsidRDefault="004436D3" w:rsidP="00246B89">
            <w:pPr>
              <w:spacing w:after="160"/>
              <w:jc w:val="both"/>
              <w:rPr>
                <w:rFonts w:eastAsia="Calibri" w:cs="Arial"/>
                <w:b/>
                <w:bCs/>
                <w:sz w:val="20"/>
              </w:rPr>
            </w:pPr>
            <w:r w:rsidRPr="00095924">
              <w:rPr>
                <w:rFonts w:eastAsia="Calibri" w:cs="Arial"/>
                <w:b/>
                <w:bCs/>
                <w:sz w:val="20"/>
              </w:rPr>
              <w:t>10</w:t>
            </w:r>
          </w:p>
        </w:tc>
        <w:tc>
          <w:tcPr>
            <w:tcW w:w="3420" w:type="dxa"/>
            <w:shd w:val="clear" w:color="auto" w:fill="DBE5F1" w:themeFill="accent1" w:themeFillTint="33"/>
          </w:tcPr>
          <w:p w14:paraId="5B609E08" w14:textId="3FB170A3" w:rsidR="004436D3" w:rsidRPr="00095924" w:rsidRDefault="004436D3" w:rsidP="00246B89">
            <w:pPr>
              <w:spacing w:before="120" w:after="120"/>
              <w:rPr>
                <w:rFonts w:cs="Arial"/>
                <w:b/>
                <w:bCs/>
                <w:sz w:val="20"/>
              </w:rPr>
            </w:pPr>
            <w:r w:rsidRPr="00095924">
              <w:rPr>
                <w:rFonts w:cs="Arial"/>
                <w:b/>
                <w:bCs/>
                <w:sz w:val="20"/>
              </w:rPr>
              <w:t>Regarding data transfers with employers, how is this done today?  Are all employers able to send and receive electronic interfaces for demographic and payroll data?  If not, how many do not have that capability?</w:t>
            </w:r>
          </w:p>
        </w:tc>
        <w:tc>
          <w:tcPr>
            <w:tcW w:w="5490" w:type="dxa"/>
            <w:shd w:val="clear" w:color="auto" w:fill="DBE5F1" w:themeFill="accent1" w:themeFillTint="33"/>
          </w:tcPr>
          <w:p w14:paraId="5BECD499" w14:textId="2B788542" w:rsidR="004436D3" w:rsidRPr="00630232" w:rsidRDefault="004436D3" w:rsidP="00246B89">
            <w:pPr>
              <w:spacing w:after="160"/>
              <w:rPr>
                <w:b/>
                <w:bCs/>
                <w:color w:val="000000"/>
                <w:sz w:val="20"/>
              </w:rPr>
            </w:pPr>
            <w:r w:rsidRPr="00630232">
              <w:rPr>
                <w:b/>
                <w:bCs/>
                <w:color w:val="000000"/>
                <w:sz w:val="20"/>
              </w:rPr>
              <w:t xml:space="preserve">Today, the three (3) largest state agency employers use file transfer processes to electronically submit enrollment and related data from their internal enrollment systems to ETF. We send response files back to them with data </w:t>
            </w:r>
            <w:r>
              <w:rPr>
                <w:b/>
                <w:bCs/>
                <w:color w:val="000000"/>
                <w:sz w:val="20"/>
              </w:rPr>
              <w:t>c</w:t>
            </w:r>
            <w:r w:rsidRPr="00630232">
              <w:rPr>
                <w:b/>
                <w:bCs/>
                <w:color w:val="000000"/>
                <w:sz w:val="20"/>
              </w:rPr>
              <w:t xml:space="preserve">orrections for their records. No payroll deduction files are currently exchanged. All other employers manually enter enrollment information into our systems. </w:t>
            </w:r>
          </w:p>
          <w:p w14:paraId="249B74D8" w14:textId="2F06E958" w:rsidR="004436D3" w:rsidRPr="0043514E" w:rsidRDefault="004436D3" w:rsidP="00246B89">
            <w:pPr>
              <w:spacing w:after="160"/>
              <w:rPr>
                <w:b/>
                <w:bCs/>
                <w:color w:val="000000"/>
                <w:sz w:val="20"/>
              </w:rPr>
            </w:pPr>
            <w:r w:rsidRPr="00630232">
              <w:rPr>
                <w:b/>
                <w:bCs/>
                <w:color w:val="000000"/>
                <w:sz w:val="20"/>
              </w:rPr>
              <w:t xml:space="preserve">Going forward, we envision that all enrollment will occur within the IAS, either entered directly by the affected member or, for certain populations, entered by an employer and/or ETF staff based on paper enrollment forms. Enrollment and payroll deduction data will need to interface back to employers. </w:t>
            </w:r>
            <w:r>
              <w:rPr>
                <w:b/>
                <w:bCs/>
                <w:color w:val="000000"/>
                <w:sz w:val="20"/>
              </w:rPr>
              <w:t>Vendors must have the c</w:t>
            </w:r>
            <w:r w:rsidRPr="00630232">
              <w:rPr>
                <w:b/>
                <w:bCs/>
                <w:color w:val="000000"/>
                <w:sz w:val="20"/>
              </w:rPr>
              <w:t>apabilit</w:t>
            </w:r>
            <w:r>
              <w:rPr>
                <w:b/>
                <w:bCs/>
                <w:color w:val="000000"/>
                <w:sz w:val="20"/>
              </w:rPr>
              <w:t>y</w:t>
            </w:r>
            <w:r w:rsidRPr="00630232">
              <w:rPr>
                <w:b/>
                <w:bCs/>
                <w:color w:val="000000"/>
                <w:sz w:val="20"/>
              </w:rPr>
              <w:t xml:space="preserve"> to interface this data back to employers via</w:t>
            </w:r>
            <w:r>
              <w:rPr>
                <w:b/>
                <w:bCs/>
                <w:color w:val="000000"/>
                <w:sz w:val="20"/>
              </w:rPr>
              <w:t xml:space="preserve"> both</w:t>
            </w:r>
            <w:r w:rsidRPr="00630232">
              <w:rPr>
                <w:b/>
                <w:bCs/>
                <w:color w:val="000000"/>
                <w:sz w:val="20"/>
              </w:rPr>
              <w:t xml:space="preserve"> outbound integration files and electronic reports, as employer needs and system capabilities will vary. </w:t>
            </w:r>
          </w:p>
        </w:tc>
      </w:tr>
      <w:tr w:rsidR="004436D3" w:rsidRPr="0038335E" w14:paraId="6FE3A230" w14:textId="77777777" w:rsidTr="00AC3150">
        <w:tc>
          <w:tcPr>
            <w:tcW w:w="720" w:type="dxa"/>
            <w:shd w:val="clear" w:color="auto" w:fill="EEECE1" w:themeFill="background2"/>
          </w:tcPr>
          <w:p w14:paraId="05857030" w14:textId="356F1F69" w:rsidR="004436D3" w:rsidRPr="0038335E" w:rsidRDefault="004436D3" w:rsidP="00246B89">
            <w:pPr>
              <w:spacing w:after="160"/>
              <w:jc w:val="both"/>
              <w:rPr>
                <w:rFonts w:eastAsia="Calibri" w:cs="Arial"/>
                <w:b/>
                <w:bCs/>
                <w:sz w:val="20"/>
              </w:rPr>
            </w:pPr>
            <w:r w:rsidRPr="0038335E">
              <w:rPr>
                <w:rFonts w:eastAsia="Calibri" w:cs="Arial"/>
                <w:b/>
                <w:bCs/>
                <w:sz w:val="20"/>
              </w:rPr>
              <w:t>Q68</w:t>
            </w:r>
          </w:p>
        </w:tc>
        <w:tc>
          <w:tcPr>
            <w:tcW w:w="1710" w:type="dxa"/>
            <w:shd w:val="clear" w:color="auto" w:fill="EEECE1" w:themeFill="background2"/>
          </w:tcPr>
          <w:p w14:paraId="6B2D8C85" w14:textId="2755308A" w:rsidR="004436D3" w:rsidRPr="0038335E" w:rsidRDefault="004436D3" w:rsidP="00246B89">
            <w:pPr>
              <w:spacing w:before="120" w:after="120"/>
              <w:jc w:val="both"/>
              <w:rPr>
                <w:rFonts w:cs="Arial"/>
                <w:b/>
                <w:bCs/>
                <w:sz w:val="20"/>
              </w:rPr>
            </w:pPr>
            <w:r w:rsidRPr="0038335E">
              <w:rPr>
                <w:rFonts w:cs="Arial"/>
                <w:b/>
                <w:bCs/>
                <w:sz w:val="20"/>
              </w:rPr>
              <w:t>Appendix 7</w:t>
            </w:r>
          </w:p>
        </w:tc>
        <w:tc>
          <w:tcPr>
            <w:tcW w:w="1710" w:type="dxa"/>
            <w:shd w:val="clear" w:color="auto" w:fill="EEECE1" w:themeFill="background2"/>
          </w:tcPr>
          <w:p w14:paraId="4D74B52A" w14:textId="046F97A5" w:rsidR="004436D3" w:rsidRPr="0038335E" w:rsidRDefault="004436D3" w:rsidP="00246B89">
            <w:pPr>
              <w:spacing w:after="160"/>
              <w:jc w:val="both"/>
              <w:rPr>
                <w:rFonts w:eastAsia="Calibri" w:cs="Arial"/>
                <w:b/>
                <w:bCs/>
                <w:sz w:val="20"/>
              </w:rPr>
            </w:pPr>
            <w:r w:rsidRPr="0038335E">
              <w:rPr>
                <w:rFonts w:eastAsia="Calibri" w:cs="Arial"/>
                <w:b/>
                <w:bCs/>
                <w:sz w:val="20"/>
              </w:rPr>
              <w:t>11</w:t>
            </w:r>
          </w:p>
        </w:tc>
        <w:tc>
          <w:tcPr>
            <w:tcW w:w="3420" w:type="dxa"/>
            <w:shd w:val="clear" w:color="auto" w:fill="EEECE1" w:themeFill="background2"/>
          </w:tcPr>
          <w:p w14:paraId="1156E700" w14:textId="200FDC30" w:rsidR="004436D3" w:rsidRPr="0038335E" w:rsidRDefault="004436D3" w:rsidP="00246B89">
            <w:pPr>
              <w:spacing w:before="120" w:after="120"/>
              <w:rPr>
                <w:rFonts w:cs="Arial"/>
                <w:b/>
                <w:bCs/>
                <w:sz w:val="20"/>
              </w:rPr>
            </w:pPr>
            <w:r w:rsidRPr="0038335E">
              <w:rPr>
                <w:rFonts w:cs="Arial"/>
                <w:b/>
                <w:bCs/>
                <w:sz w:val="20"/>
              </w:rPr>
              <w:t>Is a full customer call center requested as part of the solution – explaining benefits, helping participants and retiree enroll, etc. – or only a technical help desk line for employers?</w:t>
            </w:r>
          </w:p>
        </w:tc>
        <w:tc>
          <w:tcPr>
            <w:tcW w:w="5490" w:type="dxa"/>
            <w:shd w:val="clear" w:color="auto" w:fill="EEECE1" w:themeFill="background2"/>
          </w:tcPr>
          <w:p w14:paraId="4DE89D34" w14:textId="2CDB28C8" w:rsidR="004436D3" w:rsidRPr="005362FF" w:rsidRDefault="004436D3" w:rsidP="00246B89">
            <w:pPr>
              <w:spacing w:after="160"/>
              <w:rPr>
                <w:rFonts w:cs="Arial"/>
                <w:b/>
                <w:bCs/>
                <w:sz w:val="20"/>
              </w:rPr>
            </w:pPr>
            <w:r>
              <w:rPr>
                <w:rFonts w:cs="Arial"/>
                <w:b/>
                <w:bCs/>
                <w:sz w:val="20"/>
              </w:rPr>
              <w:t>See response to question Q24 a. above.</w:t>
            </w:r>
          </w:p>
        </w:tc>
      </w:tr>
      <w:tr w:rsidR="004436D3" w:rsidRPr="00DE5345" w14:paraId="12D42A96" w14:textId="77777777" w:rsidTr="00AC3150">
        <w:tc>
          <w:tcPr>
            <w:tcW w:w="720" w:type="dxa"/>
            <w:shd w:val="clear" w:color="auto" w:fill="DBE5F1" w:themeFill="accent1" w:themeFillTint="33"/>
          </w:tcPr>
          <w:p w14:paraId="35E0ED29" w14:textId="373D94C6" w:rsidR="004436D3" w:rsidRPr="00DE5345" w:rsidRDefault="004436D3" w:rsidP="00246B89">
            <w:pPr>
              <w:spacing w:after="160"/>
              <w:jc w:val="both"/>
              <w:rPr>
                <w:rFonts w:eastAsia="Calibri" w:cs="Arial"/>
                <w:b/>
                <w:bCs/>
                <w:sz w:val="20"/>
              </w:rPr>
            </w:pPr>
            <w:r w:rsidRPr="00DE5345">
              <w:rPr>
                <w:rFonts w:eastAsia="Calibri" w:cs="Arial"/>
                <w:b/>
                <w:bCs/>
                <w:sz w:val="20"/>
              </w:rPr>
              <w:t>Q69</w:t>
            </w:r>
          </w:p>
        </w:tc>
        <w:tc>
          <w:tcPr>
            <w:tcW w:w="1710" w:type="dxa"/>
            <w:shd w:val="clear" w:color="auto" w:fill="DBE5F1" w:themeFill="accent1" w:themeFillTint="33"/>
          </w:tcPr>
          <w:p w14:paraId="10F71125" w14:textId="32EC64F3" w:rsidR="004436D3" w:rsidRPr="00DE5345" w:rsidRDefault="004436D3" w:rsidP="00246B89">
            <w:pPr>
              <w:spacing w:before="120" w:after="120"/>
              <w:jc w:val="both"/>
              <w:rPr>
                <w:rFonts w:cs="Arial"/>
                <w:b/>
                <w:bCs/>
                <w:sz w:val="20"/>
              </w:rPr>
            </w:pPr>
            <w:r w:rsidRPr="00DE5345">
              <w:rPr>
                <w:rFonts w:cs="Arial"/>
                <w:b/>
                <w:bCs/>
                <w:sz w:val="20"/>
              </w:rPr>
              <w:t>RFP</w:t>
            </w:r>
          </w:p>
        </w:tc>
        <w:tc>
          <w:tcPr>
            <w:tcW w:w="1710" w:type="dxa"/>
            <w:shd w:val="clear" w:color="auto" w:fill="DBE5F1" w:themeFill="accent1" w:themeFillTint="33"/>
          </w:tcPr>
          <w:p w14:paraId="71596459" w14:textId="31E9890F" w:rsidR="004436D3" w:rsidRPr="00DE5345" w:rsidRDefault="004436D3" w:rsidP="00246B89">
            <w:pPr>
              <w:spacing w:after="160"/>
              <w:jc w:val="both"/>
              <w:rPr>
                <w:rFonts w:eastAsia="Calibri" w:cs="Arial"/>
                <w:b/>
                <w:bCs/>
                <w:sz w:val="20"/>
              </w:rPr>
            </w:pPr>
            <w:r w:rsidRPr="00DE5345">
              <w:rPr>
                <w:rFonts w:eastAsia="Calibri" w:cs="Arial"/>
                <w:b/>
                <w:bCs/>
                <w:sz w:val="20"/>
              </w:rPr>
              <w:t>4</w:t>
            </w:r>
          </w:p>
        </w:tc>
        <w:tc>
          <w:tcPr>
            <w:tcW w:w="3420" w:type="dxa"/>
            <w:shd w:val="clear" w:color="auto" w:fill="DBE5F1" w:themeFill="accent1" w:themeFillTint="33"/>
          </w:tcPr>
          <w:p w14:paraId="0D6B951C" w14:textId="0063AB6F" w:rsidR="004436D3" w:rsidRPr="00DE5345" w:rsidRDefault="004436D3" w:rsidP="00246B89">
            <w:pPr>
              <w:spacing w:before="120" w:after="120"/>
              <w:rPr>
                <w:rFonts w:cs="Arial"/>
                <w:b/>
                <w:bCs/>
                <w:sz w:val="20"/>
              </w:rPr>
            </w:pPr>
            <w:r w:rsidRPr="00DE5345">
              <w:rPr>
                <w:rFonts w:cs="Arial"/>
                <w:b/>
                <w:bCs/>
                <w:sz w:val="20"/>
              </w:rPr>
              <w:t xml:space="preserve">Please provide more information on the Medical carriers, plans, and pricing variations across the eligible populations.  Names of the carriers, number of plans available by carrier, enrollment </w:t>
            </w:r>
            <w:r w:rsidRPr="00DE5345">
              <w:rPr>
                <w:rFonts w:cs="Arial"/>
                <w:b/>
                <w:bCs/>
                <w:sz w:val="20"/>
              </w:rPr>
              <w:lastRenderedPageBreak/>
              <w:t>counts by employer, carrier, plan?</w:t>
            </w:r>
          </w:p>
        </w:tc>
        <w:tc>
          <w:tcPr>
            <w:tcW w:w="5490" w:type="dxa"/>
            <w:shd w:val="clear" w:color="auto" w:fill="DBE5F1" w:themeFill="accent1" w:themeFillTint="33"/>
          </w:tcPr>
          <w:p w14:paraId="5146DF42" w14:textId="628D6DDC" w:rsidR="004436D3" w:rsidRPr="00DE5345" w:rsidRDefault="004436D3" w:rsidP="00246B89">
            <w:pPr>
              <w:spacing w:after="160"/>
              <w:rPr>
                <w:rFonts w:cs="Arial"/>
                <w:b/>
                <w:bCs/>
                <w:sz w:val="20"/>
              </w:rPr>
            </w:pPr>
            <w:r w:rsidRPr="00DE5345">
              <w:rPr>
                <w:rFonts w:cs="Arial"/>
                <w:b/>
                <w:bCs/>
                <w:sz w:val="20"/>
              </w:rPr>
              <w:lastRenderedPageBreak/>
              <w:t xml:space="preserve">Please refer to the following Decision Guides for more details regarding our health insurance programs. </w:t>
            </w:r>
          </w:p>
          <w:p w14:paraId="31EDB1A0" w14:textId="77777777" w:rsidR="004436D3" w:rsidRPr="00DE5345" w:rsidRDefault="004436D3" w:rsidP="003E612A">
            <w:pPr>
              <w:pStyle w:val="ListParagraph"/>
              <w:numPr>
                <w:ilvl w:val="0"/>
                <w:numId w:val="23"/>
              </w:numPr>
              <w:rPr>
                <w:rFonts w:ascii="Calibri" w:hAnsi="Calibri"/>
                <w:b/>
                <w:bCs/>
                <w:color w:val="000000"/>
                <w:sz w:val="20"/>
              </w:rPr>
            </w:pPr>
            <w:r w:rsidRPr="00DE5345">
              <w:rPr>
                <w:b/>
                <w:bCs/>
                <w:color w:val="000000"/>
                <w:sz w:val="20"/>
              </w:rPr>
              <w:t xml:space="preserve">State Active: </w:t>
            </w:r>
            <w:hyperlink r:id="rId15" w:history="1">
              <w:r w:rsidRPr="00DE5345">
                <w:rPr>
                  <w:rStyle w:val="Hyperlink"/>
                  <w:rFonts w:eastAsiaTheme="majorEastAsia"/>
                  <w:b/>
                  <w:bCs/>
                  <w:sz w:val="20"/>
                </w:rPr>
                <w:t>https://etf.wi.gov/its-your-choice/2020/20et-2107/direct</w:t>
              </w:r>
            </w:hyperlink>
          </w:p>
          <w:p w14:paraId="06C41FFF" w14:textId="77777777" w:rsidR="004436D3" w:rsidRPr="00DE5345" w:rsidRDefault="004436D3" w:rsidP="003E612A">
            <w:pPr>
              <w:pStyle w:val="ListParagraph"/>
              <w:numPr>
                <w:ilvl w:val="0"/>
                <w:numId w:val="23"/>
              </w:numPr>
              <w:rPr>
                <w:b/>
                <w:bCs/>
                <w:color w:val="000000"/>
                <w:sz w:val="20"/>
              </w:rPr>
            </w:pPr>
            <w:r w:rsidRPr="00DE5345">
              <w:rPr>
                <w:b/>
                <w:bCs/>
                <w:color w:val="000000"/>
                <w:sz w:val="20"/>
              </w:rPr>
              <w:t xml:space="preserve">State retiree and COBRA: </w:t>
            </w:r>
            <w:hyperlink r:id="rId16" w:history="1">
              <w:r w:rsidRPr="00DE5345">
                <w:rPr>
                  <w:rStyle w:val="Hyperlink"/>
                  <w:rFonts w:eastAsiaTheme="majorEastAsia"/>
                  <w:b/>
                  <w:bCs/>
                  <w:sz w:val="20"/>
                </w:rPr>
                <w:t>https://etf.wi.gov/its-your-choice/2020/20et-2108/direct</w:t>
              </w:r>
            </w:hyperlink>
          </w:p>
          <w:p w14:paraId="4750E187" w14:textId="77777777" w:rsidR="004436D3" w:rsidRPr="00DE5345" w:rsidRDefault="004436D3" w:rsidP="003E612A">
            <w:pPr>
              <w:pStyle w:val="ListParagraph"/>
              <w:numPr>
                <w:ilvl w:val="0"/>
                <w:numId w:val="23"/>
              </w:numPr>
              <w:rPr>
                <w:b/>
                <w:bCs/>
                <w:color w:val="000000"/>
                <w:sz w:val="20"/>
              </w:rPr>
            </w:pPr>
            <w:r w:rsidRPr="00DE5345">
              <w:rPr>
                <w:b/>
                <w:bCs/>
                <w:color w:val="000000"/>
                <w:sz w:val="20"/>
              </w:rPr>
              <w:lastRenderedPageBreak/>
              <w:t xml:space="preserve">Local Traditional Program Option (PO) 2/12: </w:t>
            </w:r>
            <w:hyperlink r:id="rId17" w:history="1">
              <w:r w:rsidRPr="00DE5345">
                <w:rPr>
                  <w:rStyle w:val="Hyperlink"/>
                  <w:rFonts w:eastAsiaTheme="majorEastAsia"/>
                  <w:b/>
                  <w:bCs/>
                  <w:sz w:val="20"/>
                </w:rPr>
                <w:t>https://etf.wi.gov/its-your-choice/2020/20et-2128/direct</w:t>
              </w:r>
            </w:hyperlink>
          </w:p>
          <w:p w14:paraId="04E8C23A" w14:textId="77777777" w:rsidR="004436D3" w:rsidRPr="00DE5345" w:rsidRDefault="004436D3" w:rsidP="003E612A">
            <w:pPr>
              <w:pStyle w:val="ListParagraph"/>
              <w:numPr>
                <w:ilvl w:val="0"/>
                <w:numId w:val="23"/>
              </w:numPr>
              <w:rPr>
                <w:b/>
                <w:bCs/>
                <w:color w:val="000000"/>
                <w:sz w:val="20"/>
              </w:rPr>
            </w:pPr>
            <w:r w:rsidRPr="00DE5345">
              <w:rPr>
                <w:b/>
                <w:bCs/>
                <w:color w:val="000000"/>
                <w:sz w:val="20"/>
              </w:rPr>
              <w:t xml:space="preserve">Local Deductible PO 4/14: </w:t>
            </w:r>
            <w:hyperlink r:id="rId18" w:history="1">
              <w:r w:rsidRPr="00DE5345">
                <w:rPr>
                  <w:rStyle w:val="Hyperlink"/>
                  <w:rFonts w:eastAsiaTheme="majorEastAsia"/>
                  <w:b/>
                  <w:bCs/>
                  <w:sz w:val="20"/>
                </w:rPr>
                <w:t>https://etf.wi.gov/its-your-choice/2020/20et-2158/direct</w:t>
              </w:r>
            </w:hyperlink>
            <w:r w:rsidRPr="00DE5345">
              <w:rPr>
                <w:b/>
                <w:bCs/>
                <w:color w:val="000000"/>
                <w:sz w:val="20"/>
              </w:rPr>
              <w:t xml:space="preserve"> </w:t>
            </w:r>
          </w:p>
          <w:p w14:paraId="706FD7CD" w14:textId="77777777" w:rsidR="004436D3" w:rsidRPr="00DE5345" w:rsidRDefault="004436D3" w:rsidP="003E612A">
            <w:pPr>
              <w:pStyle w:val="ListParagraph"/>
              <w:numPr>
                <w:ilvl w:val="0"/>
                <w:numId w:val="23"/>
              </w:numPr>
              <w:rPr>
                <w:b/>
                <w:bCs/>
                <w:color w:val="000000"/>
                <w:sz w:val="20"/>
              </w:rPr>
            </w:pPr>
            <w:r w:rsidRPr="00DE5345">
              <w:rPr>
                <w:b/>
                <w:bCs/>
                <w:color w:val="000000"/>
                <w:sz w:val="20"/>
              </w:rPr>
              <w:t xml:space="preserve">Local Health Plan PO6/16: </w:t>
            </w:r>
            <w:hyperlink r:id="rId19" w:history="1">
              <w:r w:rsidRPr="00DE5345">
                <w:rPr>
                  <w:rStyle w:val="Hyperlink"/>
                  <w:rFonts w:eastAsiaTheme="majorEastAsia"/>
                  <w:b/>
                  <w:bCs/>
                  <w:sz w:val="20"/>
                </w:rPr>
                <w:t>https://etf.wi.gov/its-your-choice/2020/20et-2168/direct</w:t>
              </w:r>
            </w:hyperlink>
          </w:p>
          <w:p w14:paraId="0DB6BE2D" w14:textId="77777777" w:rsidR="004436D3" w:rsidRPr="00DE5345" w:rsidRDefault="004436D3" w:rsidP="003E612A">
            <w:pPr>
              <w:pStyle w:val="ListParagraph"/>
              <w:numPr>
                <w:ilvl w:val="0"/>
                <w:numId w:val="23"/>
              </w:numPr>
              <w:rPr>
                <w:b/>
                <w:bCs/>
                <w:color w:val="000000"/>
                <w:sz w:val="20"/>
              </w:rPr>
            </w:pPr>
            <w:r w:rsidRPr="00DE5345">
              <w:rPr>
                <w:b/>
                <w:bCs/>
                <w:color w:val="000000"/>
                <w:sz w:val="20"/>
              </w:rPr>
              <w:t>Local HDHP PO7/17:</w:t>
            </w:r>
            <w:r w:rsidRPr="00DE5345">
              <w:rPr>
                <w:b/>
                <w:bCs/>
                <w:sz w:val="20"/>
              </w:rPr>
              <w:t xml:space="preserve"> </w:t>
            </w:r>
            <w:hyperlink r:id="rId20" w:history="1">
              <w:r w:rsidRPr="00DE5345">
                <w:rPr>
                  <w:rStyle w:val="Hyperlink"/>
                  <w:rFonts w:eastAsiaTheme="majorEastAsia"/>
                  <w:b/>
                  <w:bCs/>
                  <w:sz w:val="20"/>
                </w:rPr>
                <w:t>https://etf.wi.gov/its-your-choice/2020/20et-2169/direct</w:t>
              </w:r>
            </w:hyperlink>
            <w:r w:rsidRPr="00DE5345">
              <w:rPr>
                <w:b/>
                <w:bCs/>
                <w:color w:val="000000"/>
                <w:sz w:val="20"/>
              </w:rPr>
              <w:t xml:space="preserve"> </w:t>
            </w:r>
          </w:p>
          <w:p w14:paraId="42C9C216" w14:textId="77777777" w:rsidR="004436D3" w:rsidRPr="00DE5345" w:rsidRDefault="004436D3" w:rsidP="003E612A">
            <w:pPr>
              <w:pStyle w:val="ListParagraph"/>
              <w:numPr>
                <w:ilvl w:val="0"/>
                <w:numId w:val="23"/>
              </w:numPr>
              <w:rPr>
                <w:b/>
                <w:bCs/>
                <w:color w:val="000000"/>
                <w:sz w:val="20"/>
              </w:rPr>
            </w:pPr>
            <w:r w:rsidRPr="00DE5345">
              <w:rPr>
                <w:b/>
                <w:bCs/>
                <w:color w:val="000000"/>
                <w:sz w:val="20"/>
              </w:rPr>
              <w:t xml:space="preserve">Local Annuitant Health Program (LAHP): </w:t>
            </w:r>
            <w:hyperlink r:id="rId21" w:history="1">
              <w:r w:rsidRPr="00DE5345">
                <w:rPr>
                  <w:rStyle w:val="Hyperlink"/>
                  <w:rFonts w:eastAsiaTheme="majorEastAsia"/>
                  <w:b/>
                  <w:bCs/>
                  <w:sz w:val="20"/>
                </w:rPr>
                <w:t>https://etf.wi.gov/its-your-choice/2020/20et-2156/direct</w:t>
              </w:r>
            </w:hyperlink>
          </w:p>
          <w:p w14:paraId="73440080" w14:textId="30CA05A2" w:rsidR="004436D3" w:rsidRPr="00DE5345" w:rsidRDefault="004436D3" w:rsidP="00246B89">
            <w:pPr>
              <w:spacing w:after="160"/>
              <w:rPr>
                <w:rFonts w:cs="Arial"/>
                <w:b/>
                <w:bCs/>
                <w:sz w:val="20"/>
              </w:rPr>
            </w:pPr>
          </w:p>
        </w:tc>
      </w:tr>
      <w:tr w:rsidR="004436D3" w:rsidRPr="00095924" w14:paraId="05E1F77B" w14:textId="77777777" w:rsidTr="00AC3150">
        <w:tc>
          <w:tcPr>
            <w:tcW w:w="720" w:type="dxa"/>
            <w:shd w:val="clear" w:color="auto" w:fill="EEECE1" w:themeFill="background2"/>
          </w:tcPr>
          <w:p w14:paraId="7C6D1C82" w14:textId="17A61C7B" w:rsidR="004436D3" w:rsidRPr="00095924" w:rsidRDefault="004436D3" w:rsidP="00246B89">
            <w:pPr>
              <w:spacing w:after="160"/>
              <w:jc w:val="both"/>
              <w:rPr>
                <w:rFonts w:eastAsia="Calibri" w:cs="Arial"/>
                <w:b/>
                <w:bCs/>
                <w:sz w:val="20"/>
              </w:rPr>
            </w:pPr>
            <w:bookmarkStart w:id="35" w:name="_Hlk35290398"/>
            <w:r w:rsidRPr="00095924">
              <w:rPr>
                <w:rFonts w:eastAsia="Calibri" w:cs="Arial"/>
                <w:b/>
                <w:bCs/>
                <w:sz w:val="20"/>
              </w:rPr>
              <w:lastRenderedPageBreak/>
              <w:t>Q70</w:t>
            </w:r>
          </w:p>
        </w:tc>
        <w:tc>
          <w:tcPr>
            <w:tcW w:w="1710" w:type="dxa"/>
            <w:shd w:val="clear" w:color="auto" w:fill="EEECE1" w:themeFill="background2"/>
          </w:tcPr>
          <w:p w14:paraId="00EB9719" w14:textId="4D204279" w:rsidR="004436D3" w:rsidRPr="00095924" w:rsidRDefault="004436D3" w:rsidP="00246B89">
            <w:pPr>
              <w:spacing w:before="120" w:after="120"/>
              <w:jc w:val="both"/>
              <w:rPr>
                <w:rFonts w:cs="Arial"/>
                <w:b/>
                <w:bCs/>
                <w:sz w:val="20"/>
              </w:rPr>
            </w:pPr>
            <w:r w:rsidRPr="00095924">
              <w:rPr>
                <w:rFonts w:cs="Arial"/>
                <w:b/>
                <w:bCs/>
                <w:sz w:val="20"/>
              </w:rPr>
              <w:t>RFP</w:t>
            </w:r>
          </w:p>
        </w:tc>
        <w:tc>
          <w:tcPr>
            <w:tcW w:w="1710" w:type="dxa"/>
            <w:shd w:val="clear" w:color="auto" w:fill="EEECE1" w:themeFill="background2"/>
          </w:tcPr>
          <w:p w14:paraId="691054E6" w14:textId="69A30395" w:rsidR="004436D3" w:rsidRPr="00095924" w:rsidRDefault="004436D3" w:rsidP="00246B89">
            <w:pPr>
              <w:spacing w:after="160"/>
              <w:jc w:val="both"/>
              <w:rPr>
                <w:rFonts w:eastAsia="Calibri" w:cs="Arial"/>
                <w:b/>
                <w:bCs/>
                <w:sz w:val="20"/>
              </w:rPr>
            </w:pPr>
            <w:r w:rsidRPr="00095924">
              <w:rPr>
                <w:rFonts w:eastAsia="Calibri" w:cs="Arial"/>
                <w:b/>
                <w:bCs/>
                <w:sz w:val="20"/>
              </w:rPr>
              <w:t>4</w:t>
            </w:r>
          </w:p>
        </w:tc>
        <w:tc>
          <w:tcPr>
            <w:tcW w:w="3420" w:type="dxa"/>
            <w:shd w:val="clear" w:color="auto" w:fill="EEECE1" w:themeFill="background2"/>
          </w:tcPr>
          <w:p w14:paraId="3295EBF3" w14:textId="278F99AD" w:rsidR="004436D3" w:rsidRPr="00095924" w:rsidRDefault="004436D3" w:rsidP="00246B89">
            <w:pPr>
              <w:spacing w:before="120" w:after="120"/>
              <w:rPr>
                <w:rFonts w:cs="Arial"/>
                <w:b/>
                <w:bCs/>
                <w:sz w:val="20"/>
              </w:rPr>
            </w:pPr>
            <w:r w:rsidRPr="00095924">
              <w:rPr>
                <w:rFonts w:cs="Arial"/>
                <w:b/>
                <w:bCs/>
                <w:sz w:val="20"/>
              </w:rPr>
              <w:t xml:space="preserve">Please provide eligibility information across the various Medical plan offerings.  Are all employees eligible for the same set of Medical plans, or does eligibility differ between employer groups? Within groups/divisions within an employer?  </w:t>
            </w:r>
          </w:p>
        </w:tc>
        <w:tc>
          <w:tcPr>
            <w:tcW w:w="5490" w:type="dxa"/>
            <w:shd w:val="clear" w:color="auto" w:fill="EEECE1" w:themeFill="background2"/>
          </w:tcPr>
          <w:p w14:paraId="35E96FA8" w14:textId="77777777" w:rsidR="004436D3" w:rsidRDefault="004436D3" w:rsidP="00246B89">
            <w:pPr>
              <w:spacing w:after="160"/>
              <w:rPr>
                <w:rFonts w:cs="Arial"/>
                <w:b/>
                <w:bCs/>
                <w:sz w:val="20"/>
              </w:rPr>
            </w:pPr>
            <w:r>
              <w:rPr>
                <w:rFonts w:cs="Arial"/>
                <w:b/>
                <w:bCs/>
                <w:sz w:val="20"/>
              </w:rPr>
              <w:t xml:space="preserve">All State agency employees are eligible for the same medical plans. </w:t>
            </w:r>
          </w:p>
          <w:p w14:paraId="3C8999E7" w14:textId="6079944C" w:rsidR="004436D3" w:rsidRPr="00095924" w:rsidRDefault="004436D3" w:rsidP="00246B89">
            <w:pPr>
              <w:spacing w:after="160"/>
              <w:rPr>
                <w:rFonts w:cs="Arial"/>
                <w:b/>
                <w:bCs/>
                <w:sz w:val="20"/>
              </w:rPr>
            </w:pPr>
            <w:r>
              <w:rPr>
                <w:rFonts w:cs="Arial"/>
                <w:b/>
                <w:bCs/>
                <w:sz w:val="20"/>
              </w:rPr>
              <w:t xml:space="preserve">For local employers, however, there can be more distinction. Plans and eligibility requirements are the same for all employees, but local employers can choose different program options within those plans for different groups of employees. </w:t>
            </w:r>
          </w:p>
        </w:tc>
      </w:tr>
      <w:bookmarkEnd w:id="35"/>
      <w:tr w:rsidR="004436D3" w:rsidRPr="00BC7861" w14:paraId="32860590" w14:textId="77777777" w:rsidTr="00AC3150">
        <w:tc>
          <w:tcPr>
            <w:tcW w:w="720" w:type="dxa"/>
            <w:shd w:val="clear" w:color="auto" w:fill="DBE5F1" w:themeFill="accent1" w:themeFillTint="33"/>
          </w:tcPr>
          <w:p w14:paraId="79E1F79D" w14:textId="2E5CFDA3" w:rsidR="004436D3" w:rsidRPr="00BC7861" w:rsidRDefault="004436D3" w:rsidP="00246B89">
            <w:pPr>
              <w:spacing w:after="160"/>
              <w:jc w:val="both"/>
              <w:rPr>
                <w:rFonts w:eastAsia="Calibri" w:cs="Arial"/>
                <w:b/>
                <w:bCs/>
                <w:sz w:val="20"/>
              </w:rPr>
            </w:pPr>
            <w:r w:rsidRPr="00BC7861">
              <w:rPr>
                <w:rFonts w:eastAsia="Calibri" w:cs="Arial"/>
                <w:b/>
                <w:bCs/>
                <w:sz w:val="20"/>
              </w:rPr>
              <w:t>Q71</w:t>
            </w:r>
          </w:p>
        </w:tc>
        <w:tc>
          <w:tcPr>
            <w:tcW w:w="1710" w:type="dxa"/>
            <w:shd w:val="clear" w:color="auto" w:fill="DBE5F1" w:themeFill="accent1" w:themeFillTint="33"/>
          </w:tcPr>
          <w:p w14:paraId="6CE54BFA" w14:textId="63673A79" w:rsidR="004436D3" w:rsidRPr="00BC7861" w:rsidRDefault="004436D3" w:rsidP="00246B89">
            <w:pPr>
              <w:spacing w:before="120" w:after="120"/>
              <w:jc w:val="both"/>
              <w:rPr>
                <w:rFonts w:cs="Arial"/>
                <w:b/>
                <w:bCs/>
                <w:sz w:val="20"/>
              </w:rPr>
            </w:pPr>
            <w:r w:rsidRPr="00BC7861">
              <w:rPr>
                <w:rFonts w:cs="Arial"/>
                <w:b/>
                <w:bCs/>
                <w:sz w:val="20"/>
              </w:rPr>
              <w:t>RFP</w:t>
            </w:r>
          </w:p>
        </w:tc>
        <w:tc>
          <w:tcPr>
            <w:tcW w:w="1710" w:type="dxa"/>
            <w:shd w:val="clear" w:color="auto" w:fill="DBE5F1" w:themeFill="accent1" w:themeFillTint="33"/>
          </w:tcPr>
          <w:p w14:paraId="33A09F18" w14:textId="0A3B21F5" w:rsidR="004436D3" w:rsidRPr="00BC7861" w:rsidRDefault="004436D3" w:rsidP="00246B89">
            <w:pPr>
              <w:spacing w:after="160"/>
              <w:jc w:val="both"/>
              <w:rPr>
                <w:rFonts w:eastAsia="Calibri" w:cs="Arial"/>
                <w:b/>
                <w:bCs/>
                <w:sz w:val="20"/>
              </w:rPr>
            </w:pPr>
            <w:r w:rsidRPr="00BC7861">
              <w:rPr>
                <w:rFonts w:eastAsia="Calibri" w:cs="Arial"/>
                <w:b/>
                <w:bCs/>
                <w:sz w:val="20"/>
              </w:rPr>
              <w:t>4</w:t>
            </w:r>
          </w:p>
        </w:tc>
        <w:tc>
          <w:tcPr>
            <w:tcW w:w="3420" w:type="dxa"/>
            <w:shd w:val="clear" w:color="auto" w:fill="DBE5F1" w:themeFill="accent1" w:themeFillTint="33"/>
          </w:tcPr>
          <w:p w14:paraId="34043D80" w14:textId="32DFB07E" w:rsidR="004436D3" w:rsidRPr="00BC7861" w:rsidRDefault="004436D3" w:rsidP="00246B89">
            <w:pPr>
              <w:spacing w:before="120" w:after="120"/>
              <w:rPr>
                <w:rFonts w:cs="Arial"/>
                <w:b/>
                <w:bCs/>
                <w:sz w:val="20"/>
              </w:rPr>
            </w:pPr>
            <w:r w:rsidRPr="00BC7861">
              <w:rPr>
                <w:rFonts w:cs="Arial"/>
                <w:b/>
                <w:bCs/>
                <w:sz w:val="20"/>
              </w:rPr>
              <w:t xml:space="preserve">Please provide employee and employer cost sharing details for the various Medical plan offerings.  Does pricing differ between employer groups? Within groups/divisions within an employer?  </w:t>
            </w:r>
          </w:p>
        </w:tc>
        <w:tc>
          <w:tcPr>
            <w:tcW w:w="5490" w:type="dxa"/>
            <w:shd w:val="clear" w:color="auto" w:fill="DBE5F1" w:themeFill="accent1" w:themeFillTint="33"/>
          </w:tcPr>
          <w:p w14:paraId="25EDF7FA" w14:textId="77777777" w:rsidR="004436D3" w:rsidRPr="00BC7861" w:rsidRDefault="004436D3" w:rsidP="00246B89">
            <w:pPr>
              <w:spacing w:after="160"/>
              <w:rPr>
                <w:rFonts w:cs="Arial"/>
                <w:b/>
                <w:bCs/>
                <w:sz w:val="20"/>
              </w:rPr>
            </w:pPr>
            <w:r w:rsidRPr="00BC7861">
              <w:rPr>
                <w:rFonts w:cs="Arial"/>
                <w:b/>
                <w:bCs/>
                <w:sz w:val="20"/>
              </w:rPr>
              <w:t xml:space="preserve">The employee vs. employer share of health insurance premiums varies between certain employer groups and between certain types or groups of employees within an employer. </w:t>
            </w:r>
          </w:p>
          <w:p w14:paraId="2C4BF299" w14:textId="46A6BAFB" w:rsidR="004436D3" w:rsidRPr="00C97F77" w:rsidRDefault="004436D3" w:rsidP="00246B89">
            <w:pPr>
              <w:spacing w:after="160"/>
              <w:rPr>
                <w:rFonts w:cs="Arial"/>
                <w:b/>
                <w:bCs/>
                <w:sz w:val="20"/>
              </w:rPr>
            </w:pPr>
            <w:r w:rsidRPr="00BC7861">
              <w:rPr>
                <w:rFonts w:cs="Arial"/>
                <w:b/>
                <w:bCs/>
                <w:sz w:val="20"/>
              </w:rPr>
              <w:t xml:space="preserve">Full-time employees of State agency employers pay a monthly premium based upon their chosen plan design. See page 4 of the State employee Health Benefits Decision Guide here:  </w:t>
            </w:r>
            <w:hyperlink r:id="rId22" w:history="1">
              <w:r w:rsidRPr="00C97F77">
                <w:rPr>
                  <w:rFonts w:cs="Arial"/>
                  <w:b/>
                  <w:bCs/>
                  <w:color w:val="0000FF"/>
                  <w:sz w:val="20"/>
                </w:rPr>
                <w:t>https://etf.wi.gov/its-your-choice/2020/20et-2107/direct</w:t>
              </w:r>
            </w:hyperlink>
          </w:p>
          <w:p w14:paraId="156646FC" w14:textId="32C6A625" w:rsidR="004436D3" w:rsidRPr="00C97F77" w:rsidRDefault="004436D3" w:rsidP="00246B89">
            <w:pPr>
              <w:spacing w:after="160"/>
              <w:rPr>
                <w:rFonts w:cs="Arial"/>
                <w:b/>
                <w:bCs/>
                <w:sz w:val="20"/>
              </w:rPr>
            </w:pPr>
            <w:r w:rsidRPr="00C97F77">
              <w:rPr>
                <w:rFonts w:cs="Arial"/>
                <w:b/>
                <w:bCs/>
                <w:sz w:val="20"/>
              </w:rPr>
              <w:t>Certain part-time employees of State agency employers pay a different monthly premium rate (not shown in the Decision Guide).</w:t>
            </w:r>
          </w:p>
          <w:p w14:paraId="57EE6D2E" w14:textId="6EC83CF0" w:rsidR="004436D3" w:rsidRPr="00C97F77" w:rsidRDefault="004436D3" w:rsidP="00246B89">
            <w:pPr>
              <w:spacing w:after="160"/>
              <w:rPr>
                <w:rFonts w:cs="Arial"/>
                <w:b/>
                <w:bCs/>
                <w:sz w:val="20"/>
              </w:rPr>
            </w:pPr>
            <w:r w:rsidRPr="00C97F77">
              <w:rPr>
                <w:rFonts w:cs="Arial"/>
                <w:b/>
                <w:bCs/>
                <w:sz w:val="20"/>
              </w:rPr>
              <w:lastRenderedPageBreak/>
              <w:t xml:space="preserve">Graduate Assistants, a separate group of state employees, pay yet another monthly premium rate, also listed on page 4 of the Decision Guide. </w:t>
            </w:r>
          </w:p>
          <w:p w14:paraId="21B832EA" w14:textId="008F9D58" w:rsidR="004436D3" w:rsidRPr="00BC7861" w:rsidRDefault="004436D3" w:rsidP="00246B89">
            <w:pPr>
              <w:spacing w:after="160"/>
              <w:rPr>
                <w:rFonts w:cs="Arial"/>
                <w:b/>
                <w:bCs/>
                <w:sz w:val="20"/>
              </w:rPr>
            </w:pPr>
            <w:r w:rsidRPr="00C97F77">
              <w:rPr>
                <w:rFonts w:cs="Arial"/>
                <w:b/>
                <w:bCs/>
                <w:sz w:val="20"/>
              </w:rPr>
              <w:t>Local employers have the discretion to choose the employee premium rate from a defined list of options. ETF does not currently have the capability to track individual local employer decisions regarding employee premium rate options, but we are interested in any functionality the Proposer’s system may offer in this area.</w:t>
            </w:r>
          </w:p>
        </w:tc>
      </w:tr>
      <w:tr w:rsidR="004436D3" w:rsidRPr="00F7121D" w14:paraId="6EDE0274" w14:textId="77777777" w:rsidTr="00AC3150">
        <w:tc>
          <w:tcPr>
            <w:tcW w:w="720" w:type="dxa"/>
            <w:shd w:val="clear" w:color="auto" w:fill="EEECE1" w:themeFill="background2"/>
          </w:tcPr>
          <w:p w14:paraId="36970ACB" w14:textId="6C09B9B6" w:rsidR="004436D3" w:rsidRPr="00F7121D" w:rsidRDefault="004436D3" w:rsidP="00246B89">
            <w:pPr>
              <w:spacing w:after="160"/>
              <w:jc w:val="both"/>
              <w:rPr>
                <w:rFonts w:eastAsia="Calibri" w:cs="Arial"/>
                <w:b/>
                <w:bCs/>
                <w:sz w:val="20"/>
              </w:rPr>
            </w:pPr>
            <w:r w:rsidRPr="00F7121D">
              <w:rPr>
                <w:rFonts w:eastAsia="Calibri" w:cs="Arial"/>
                <w:b/>
                <w:bCs/>
                <w:sz w:val="20"/>
              </w:rPr>
              <w:lastRenderedPageBreak/>
              <w:t>Q72</w:t>
            </w:r>
          </w:p>
        </w:tc>
        <w:tc>
          <w:tcPr>
            <w:tcW w:w="1710" w:type="dxa"/>
            <w:shd w:val="clear" w:color="auto" w:fill="EEECE1" w:themeFill="background2"/>
          </w:tcPr>
          <w:p w14:paraId="5B85D766" w14:textId="7C821B41" w:rsidR="004436D3" w:rsidRPr="00F7121D" w:rsidRDefault="004436D3" w:rsidP="00246B89">
            <w:pPr>
              <w:spacing w:before="120" w:after="120"/>
              <w:jc w:val="both"/>
              <w:rPr>
                <w:rFonts w:cs="Arial"/>
                <w:b/>
                <w:bCs/>
                <w:sz w:val="20"/>
              </w:rPr>
            </w:pPr>
            <w:r w:rsidRPr="00F7121D">
              <w:rPr>
                <w:rFonts w:cs="Arial"/>
                <w:b/>
                <w:bCs/>
                <w:sz w:val="20"/>
              </w:rPr>
              <w:t>RFP</w:t>
            </w:r>
          </w:p>
        </w:tc>
        <w:tc>
          <w:tcPr>
            <w:tcW w:w="1710" w:type="dxa"/>
            <w:shd w:val="clear" w:color="auto" w:fill="EEECE1" w:themeFill="background2"/>
          </w:tcPr>
          <w:p w14:paraId="38A55319" w14:textId="265C7CDC" w:rsidR="004436D3" w:rsidRPr="00F7121D" w:rsidRDefault="004436D3" w:rsidP="00246B89">
            <w:pPr>
              <w:spacing w:after="160"/>
              <w:jc w:val="both"/>
              <w:rPr>
                <w:rFonts w:eastAsia="Calibri" w:cs="Arial"/>
                <w:b/>
                <w:bCs/>
                <w:sz w:val="20"/>
              </w:rPr>
            </w:pPr>
            <w:r w:rsidRPr="00F7121D">
              <w:rPr>
                <w:rFonts w:eastAsia="Calibri" w:cs="Arial"/>
                <w:b/>
                <w:bCs/>
                <w:sz w:val="20"/>
              </w:rPr>
              <w:t>4</w:t>
            </w:r>
          </w:p>
        </w:tc>
        <w:tc>
          <w:tcPr>
            <w:tcW w:w="3420" w:type="dxa"/>
            <w:shd w:val="clear" w:color="auto" w:fill="EEECE1" w:themeFill="background2"/>
          </w:tcPr>
          <w:p w14:paraId="3971C744" w14:textId="3704401C" w:rsidR="004436D3" w:rsidRPr="00F7121D" w:rsidRDefault="004436D3" w:rsidP="00246B89">
            <w:pPr>
              <w:spacing w:before="120" w:after="120"/>
              <w:rPr>
                <w:rFonts w:cs="Arial"/>
                <w:b/>
                <w:bCs/>
                <w:sz w:val="20"/>
              </w:rPr>
            </w:pPr>
            <w:r w:rsidRPr="00F7121D">
              <w:rPr>
                <w:rFonts w:cs="Arial"/>
                <w:b/>
                <w:bCs/>
                <w:sz w:val="20"/>
              </w:rPr>
              <w:t>Are Affordable Care Act 1094/1095 Forms Management and Distribution services required?  If yes, how many 1095 forms were produced for the 2019 plan year?</w:t>
            </w:r>
          </w:p>
        </w:tc>
        <w:tc>
          <w:tcPr>
            <w:tcW w:w="5490" w:type="dxa"/>
            <w:shd w:val="clear" w:color="auto" w:fill="EEECE1" w:themeFill="background2"/>
          </w:tcPr>
          <w:p w14:paraId="5CF645BB" w14:textId="443DD1CB" w:rsidR="004436D3" w:rsidRPr="00F7121D" w:rsidRDefault="004436D3" w:rsidP="00246B89">
            <w:pPr>
              <w:spacing w:after="160"/>
              <w:rPr>
                <w:rFonts w:cs="Arial"/>
                <w:b/>
                <w:bCs/>
                <w:sz w:val="20"/>
              </w:rPr>
            </w:pPr>
            <w:r>
              <w:rPr>
                <w:rFonts w:cs="Arial"/>
                <w:b/>
                <w:bCs/>
                <w:sz w:val="20"/>
              </w:rPr>
              <w:t>Affordable Care Act 1094 and 1094 forms and their distribution are outside of the scope of this RFP.</w:t>
            </w:r>
          </w:p>
        </w:tc>
      </w:tr>
      <w:tr w:rsidR="004436D3" w:rsidRPr="00095924" w14:paraId="58B4D2D2" w14:textId="77777777" w:rsidTr="00AC3150">
        <w:tc>
          <w:tcPr>
            <w:tcW w:w="720" w:type="dxa"/>
            <w:shd w:val="clear" w:color="auto" w:fill="DBE5F1" w:themeFill="accent1" w:themeFillTint="33"/>
          </w:tcPr>
          <w:p w14:paraId="7A643D91" w14:textId="28CE7A8B" w:rsidR="004436D3" w:rsidRPr="00095924" w:rsidRDefault="004436D3" w:rsidP="00246B89">
            <w:pPr>
              <w:spacing w:after="160"/>
              <w:jc w:val="both"/>
              <w:rPr>
                <w:rFonts w:eastAsia="Calibri" w:cs="Arial"/>
                <w:b/>
                <w:bCs/>
                <w:sz w:val="20"/>
              </w:rPr>
            </w:pPr>
            <w:r w:rsidRPr="00095924">
              <w:rPr>
                <w:rFonts w:eastAsia="Calibri" w:cs="Arial"/>
                <w:b/>
                <w:bCs/>
                <w:sz w:val="20"/>
              </w:rPr>
              <w:t>Q73</w:t>
            </w:r>
          </w:p>
        </w:tc>
        <w:tc>
          <w:tcPr>
            <w:tcW w:w="1710" w:type="dxa"/>
            <w:shd w:val="clear" w:color="auto" w:fill="DBE5F1" w:themeFill="accent1" w:themeFillTint="33"/>
          </w:tcPr>
          <w:p w14:paraId="729AD963" w14:textId="52C14247" w:rsidR="004436D3" w:rsidRPr="00095924" w:rsidRDefault="004436D3" w:rsidP="00246B89">
            <w:pPr>
              <w:spacing w:before="120" w:after="120"/>
              <w:jc w:val="both"/>
              <w:rPr>
                <w:rFonts w:cs="Arial"/>
                <w:b/>
                <w:bCs/>
                <w:sz w:val="20"/>
              </w:rPr>
            </w:pPr>
            <w:r w:rsidRPr="00095924">
              <w:rPr>
                <w:rFonts w:cs="Arial"/>
                <w:b/>
                <w:bCs/>
                <w:sz w:val="20"/>
              </w:rPr>
              <w:t>RFP</w:t>
            </w:r>
          </w:p>
        </w:tc>
        <w:tc>
          <w:tcPr>
            <w:tcW w:w="1710" w:type="dxa"/>
            <w:shd w:val="clear" w:color="auto" w:fill="DBE5F1" w:themeFill="accent1" w:themeFillTint="33"/>
          </w:tcPr>
          <w:p w14:paraId="39929297" w14:textId="5B18929B" w:rsidR="004436D3" w:rsidRPr="00095924" w:rsidRDefault="004436D3" w:rsidP="00246B89">
            <w:pPr>
              <w:spacing w:after="160"/>
              <w:jc w:val="both"/>
              <w:rPr>
                <w:rFonts w:eastAsia="Calibri" w:cs="Arial"/>
                <w:b/>
                <w:bCs/>
                <w:sz w:val="20"/>
              </w:rPr>
            </w:pPr>
            <w:r w:rsidRPr="00095924">
              <w:rPr>
                <w:rFonts w:eastAsia="Calibri" w:cs="Arial"/>
                <w:b/>
                <w:bCs/>
                <w:sz w:val="20"/>
              </w:rPr>
              <w:t>6</w:t>
            </w:r>
          </w:p>
        </w:tc>
        <w:tc>
          <w:tcPr>
            <w:tcW w:w="3420" w:type="dxa"/>
            <w:shd w:val="clear" w:color="auto" w:fill="DBE5F1" w:themeFill="accent1" w:themeFillTint="33"/>
          </w:tcPr>
          <w:p w14:paraId="470E8CC9" w14:textId="21489BFE" w:rsidR="004436D3" w:rsidRPr="00095924" w:rsidRDefault="004436D3" w:rsidP="00246B89">
            <w:pPr>
              <w:spacing w:before="120" w:after="120"/>
              <w:rPr>
                <w:rFonts w:cs="Arial"/>
                <w:b/>
                <w:bCs/>
                <w:sz w:val="20"/>
              </w:rPr>
            </w:pPr>
            <w:r w:rsidRPr="00095924">
              <w:rPr>
                <w:rFonts w:cs="Arial"/>
                <w:b/>
                <w:bCs/>
                <w:sz w:val="20"/>
              </w:rPr>
              <w:t xml:space="preserve">Pre-Tax Savings Accounts: Do employer funding amounts and rules differ between employer groups for the Health Savings Account?  If yes, can you provide details on the variations and types of employer funding arrangements?  </w:t>
            </w:r>
          </w:p>
        </w:tc>
        <w:tc>
          <w:tcPr>
            <w:tcW w:w="5490" w:type="dxa"/>
            <w:shd w:val="clear" w:color="auto" w:fill="DBE5F1" w:themeFill="accent1" w:themeFillTint="33"/>
          </w:tcPr>
          <w:p w14:paraId="143BE45F" w14:textId="1065EE1A" w:rsidR="004436D3" w:rsidRPr="00095924" w:rsidRDefault="004436D3" w:rsidP="00246B89">
            <w:pPr>
              <w:spacing w:after="160"/>
              <w:rPr>
                <w:rFonts w:cs="Arial"/>
                <w:b/>
                <w:bCs/>
                <w:sz w:val="20"/>
              </w:rPr>
            </w:pPr>
            <w:r>
              <w:rPr>
                <w:rFonts w:cs="Arial"/>
                <w:b/>
                <w:bCs/>
                <w:sz w:val="20"/>
              </w:rPr>
              <w:t xml:space="preserve">Only State agency employees enrolled in the HDHP plan receive an employer HSA contribution, which is divided into 12 monthly installments made to employee HSA accounts. </w:t>
            </w:r>
          </w:p>
        </w:tc>
      </w:tr>
      <w:tr w:rsidR="004436D3" w:rsidRPr="00095924" w14:paraId="4C443580" w14:textId="77777777" w:rsidTr="00AC3150">
        <w:tc>
          <w:tcPr>
            <w:tcW w:w="720" w:type="dxa"/>
            <w:shd w:val="clear" w:color="auto" w:fill="EEECE1" w:themeFill="background2"/>
          </w:tcPr>
          <w:p w14:paraId="46C28EAC" w14:textId="131599CE" w:rsidR="004436D3" w:rsidRPr="00095924" w:rsidRDefault="004436D3" w:rsidP="00246B89">
            <w:pPr>
              <w:spacing w:after="160"/>
              <w:jc w:val="both"/>
              <w:rPr>
                <w:rFonts w:eastAsia="Calibri" w:cs="Arial"/>
                <w:b/>
                <w:bCs/>
                <w:sz w:val="20"/>
              </w:rPr>
            </w:pPr>
            <w:r w:rsidRPr="00095924">
              <w:rPr>
                <w:rFonts w:eastAsia="Calibri" w:cs="Arial"/>
                <w:b/>
                <w:bCs/>
                <w:sz w:val="20"/>
              </w:rPr>
              <w:t>Q74</w:t>
            </w:r>
          </w:p>
        </w:tc>
        <w:tc>
          <w:tcPr>
            <w:tcW w:w="1710" w:type="dxa"/>
            <w:shd w:val="clear" w:color="auto" w:fill="EEECE1" w:themeFill="background2"/>
          </w:tcPr>
          <w:p w14:paraId="30E82817" w14:textId="67277FD4" w:rsidR="004436D3" w:rsidRPr="00095924" w:rsidRDefault="004436D3" w:rsidP="00246B89">
            <w:pPr>
              <w:spacing w:before="120" w:after="120"/>
              <w:jc w:val="both"/>
              <w:rPr>
                <w:rFonts w:cs="Arial"/>
                <w:b/>
                <w:bCs/>
                <w:sz w:val="20"/>
              </w:rPr>
            </w:pPr>
            <w:r w:rsidRPr="00095924">
              <w:rPr>
                <w:rFonts w:cs="Arial"/>
                <w:b/>
                <w:bCs/>
                <w:sz w:val="20"/>
              </w:rPr>
              <w:t>It’s Your Choice Benefits Guide</w:t>
            </w:r>
          </w:p>
        </w:tc>
        <w:tc>
          <w:tcPr>
            <w:tcW w:w="1710" w:type="dxa"/>
            <w:shd w:val="clear" w:color="auto" w:fill="EEECE1" w:themeFill="background2"/>
          </w:tcPr>
          <w:p w14:paraId="5556B865" w14:textId="715FD46F" w:rsidR="004436D3" w:rsidRPr="00095924" w:rsidRDefault="004436D3" w:rsidP="00246B89">
            <w:pPr>
              <w:spacing w:after="160"/>
              <w:jc w:val="both"/>
              <w:rPr>
                <w:rFonts w:eastAsia="Calibri" w:cs="Arial"/>
                <w:b/>
                <w:bCs/>
                <w:sz w:val="20"/>
              </w:rPr>
            </w:pPr>
            <w:r w:rsidRPr="00095924">
              <w:rPr>
                <w:rFonts w:eastAsia="Calibri" w:cs="Arial"/>
                <w:b/>
                <w:bCs/>
                <w:sz w:val="20"/>
              </w:rPr>
              <w:t>9</w:t>
            </w:r>
          </w:p>
        </w:tc>
        <w:tc>
          <w:tcPr>
            <w:tcW w:w="3420" w:type="dxa"/>
            <w:shd w:val="clear" w:color="auto" w:fill="EEECE1" w:themeFill="background2"/>
          </w:tcPr>
          <w:p w14:paraId="7AECE3D0" w14:textId="2456AEFF" w:rsidR="004436D3" w:rsidRPr="00095924" w:rsidRDefault="004436D3" w:rsidP="00246B89">
            <w:pPr>
              <w:spacing w:before="120" w:after="120"/>
              <w:rPr>
                <w:rFonts w:cs="Arial"/>
                <w:b/>
                <w:bCs/>
                <w:sz w:val="20"/>
              </w:rPr>
            </w:pPr>
            <w:r w:rsidRPr="00095924">
              <w:rPr>
                <w:rFonts w:cs="Arial"/>
                <w:b/>
                <w:bCs/>
                <w:sz w:val="20"/>
              </w:rPr>
              <w:t xml:space="preserve">The Benefits Guide outlines 18 Medical Plan offerings with detail on these plans by county on pages 5 – 8.  Are the plans listed by county the only plans eligible to an employer based in that given county?  Do employers within that county have the same eligibility to all of the plans or can they only choose to offer a </w:t>
            </w:r>
            <w:r w:rsidRPr="00095924">
              <w:rPr>
                <w:rFonts w:cs="Arial"/>
                <w:b/>
                <w:bCs/>
                <w:sz w:val="20"/>
              </w:rPr>
              <w:lastRenderedPageBreak/>
              <w:t xml:space="preserve">subset of the county’s eligible Medical plans?  </w:t>
            </w:r>
          </w:p>
        </w:tc>
        <w:tc>
          <w:tcPr>
            <w:tcW w:w="5490" w:type="dxa"/>
            <w:shd w:val="clear" w:color="auto" w:fill="EEECE1" w:themeFill="background2"/>
          </w:tcPr>
          <w:p w14:paraId="3AB0A872" w14:textId="77777777" w:rsidR="004436D3" w:rsidRDefault="004436D3" w:rsidP="00246B89">
            <w:pPr>
              <w:spacing w:after="160"/>
              <w:rPr>
                <w:rFonts w:cs="Arial"/>
                <w:b/>
                <w:bCs/>
                <w:sz w:val="20"/>
              </w:rPr>
            </w:pPr>
            <w:r>
              <w:rPr>
                <w:rFonts w:cs="Arial"/>
                <w:b/>
                <w:bCs/>
                <w:sz w:val="20"/>
              </w:rPr>
              <w:lastRenderedPageBreak/>
              <w:t xml:space="preserve">All plans listed are available to all eligible employees of a participating employer. </w:t>
            </w:r>
          </w:p>
          <w:p w14:paraId="3321F495" w14:textId="77777777" w:rsidR="004436D3" w:rsidRDefault="004436D3" w:rsidP="00246B89">
            <w:pPr>
              <w:spacing w:after="160"/>
              <w:rPr>
                <w:rFonts w:cs="Arial"/>
                <w:b/>
                <w:bCs/>
                <w:sz w:val="20"/>
              </w:rPr>
            </w:pPr>
            <w:r>
              <w:rPr>
                <w:rFonts w:cs="Arial"/>
                <w:b/>
                <w:bCs/>
                <w:sz w:val="20"/>
              </w:rPr>
              <w:t xml:space="preserve">Plans listed by county reflect those plans where “in network” services are available within the county. Most subscribers choose a plan that is available in the county where they live and/or work. However, a subscriber can choose a plan available in another county instead and travel for their medical services. </w:t>
            </w:r>
          </w:p>
          <w:p w14:paraId="6CEC9CB1" w14:textId="356F8094" w:rsidR="004436D3" w:rsidRPr="00095924" w:rsidRDefault="004436D3" w:rsidP="00246B89">
            <w:pPr>
              <w:spacing w:after="160"/>
              <w:rPr>
                <w:rFonts w:cs="Arial"/>
                <w:b/>
                <w:bCs/>
                <w:sz w:val="20"/>
              </w:rPr>
            </w:pPr>
            <w:r>
              <w:rPr>
                <w:rFonts w:cs="Arial"/>
                <w:b/>
                <w:bCs/>
                <w:sz w:val="20"/>
              </w:rPr>
              <w:lastRenderedPageBreak/>
              <w:t xml:space="preserve">In general, subscribers may select any one plan listed in the Decision Guide to provide coverage for themselves and their dependents. The only exception is for retirees with split contracts (where one or more covered individuals have Medicare and one or more covered individuals do not). Such retirees may elect two (2) medical plans, of which one is a Medicare plan and the other is any other plan listed in the Decision Guide. </w:t>
            </w:r>
          </w:p>
        </w:tc>
      </w:tr>
      <w:tr w:rsidR="004436D3" w:rsidRPr="00F7121D" w14:paraId="3A803E07" w14:textId="77777777" w:rsidTr="00AC3150">
        <w:tc>
          <w:tcPr>
            <w:tcW w:w="720" w:type="dxa"/>
            <w:shd w:val="clear" w:color="auto" w:fill="DBE5F1" w:themeFill="accent1" w:themeFillTint="33"/>
          </w:tcPr>
          <w:p w14:paraId="0FD1BBAE" w14:textId="326DBCCB" w:rsidR="004436D3" w:rsidRPr="00F7121D" w:rsidRDefault="004436D3" w:rsidP="00246B89">
            <w:pPr>
              <w:spacing w:after="160"/>
              <w:jc w:val="both"/>
              <w:rPr>
                <w:rFonts w:eastAsia="Calibri" w:cs="Arial"/>
                <w:b/>
                <w:bCs/>
                <w:sz w:val="20"/>
              </w:rPr>
            </w:pPr>
            <w:r w:rsidRPr="00F7121D">
              <w:rPr>
                <w:rFonts w:eastAsia="Calibri" w:cs="Arial"/>
                <w:b/>
                <w:bCs/>
                <w:sz w:val="20"/>
              </w:rPr>
              <w:lastRenderedPageBreak/>
              <w:t>Q75</w:t>
            </w:r>
          </w:p>
        </w:tc>
        <w:tc>
          <w:tcPr>
            <w:tcW w:w="1710" w:type="dxa"/>
            <w:shd w:val="clear" w:color="auto" w:fill="DBE5F1" w:themeFill="accent1" w:themeFillTint="33"/>
          </w:tcPr>
          <w:p w14:paraId="7C19B41C" w14:textId="2F4F88C7" w:rsidR="004436D3" w:rsidRPr="00F7121D" w:rsidRDefault="004436D3" w:rsidP="00246B89">
            <w:pPr>
              <w:spacing w:before="120" w:after="120"/>
              <w:jc w:val="both"/>
              <w:rPr>
                <w:rFonts w:cs="Arial"/>
                <w:b/>
                <w:bCs/>
                <w:sz w:val="20"/>
              </w:rPr>
            </w:pPr>
            <w:r w:rsidRPr="00F7121D">
              <w:rPr>
                <w:rFonts w:cs="Arial"/>
                <w:b/>
                <w:bCs/>
                <w:sz w:val="20"/>
              </w:rPr>
              <w:t>RFP</w:t>
            </w:r>
          </w:p>
        </w:tc>
        <w:tc>
          <w:tcPr>
            <w:tcW w:w="1710" w:type="dxa"/>
            <w:shd w:val="clear" w:color="auto" w:fill="DBE5F1" w:themeFill="accent1" w:themeFillTint="33"/>
          </w:tcPr>
          <w:p w14:paraId="011F9554" w14:textId="193F0539" w:rsidR="004436D3" w:rsidRPr="00F7121D" w:rsidRDefault="004436D3" w:rsidP="00246B89">
            <w:pPr>
              <w:spacing w:after="160"/>
              <w:jc w:val="both"/>
              <w:rPr>
                <w:rFonts w:eastAsia="Calibri" w:cs="Arial"/>
                <w:b/>
                <w:bCs/>
                <w:sz w:val="20"/>
              </w:rPr>
            </w:pPr>
            <w:r w:rsidRPr="00F7121D">
              <w:rPr>
                <w:rFonts w:eastAsia="Calibri" w:cs="Arial"/>
                <w:b/>
                <w:bCs/>
                <w:sz w:val="20"/>
              </w:rPr>
              <w:t>5</w:t>
            </w:r>
          </w:p>
        </w:tc>
        <w:tc>
          <w:tcPr>
            <w:tcW w:w="3420" w:type="dxa"/>
            <w:shd w:val="clear" w:color="auto" w:fill="DBE5F1" w:themeFill="accent1" w:themeFillTint="33"/>
          </w:tcPr>
          <w:p w14:paraId="33B0746F" w14:textId="2426BB5C" w:rsidR="004436D3" w:rsidRPr="00F7121D" w:rsidRDefault="004436D3" w:rsidP="00246B89">
            <w:pPr>
              <w:rPr>
                <w:rFonts w:cs="Arial"/>
                <w:b/>
                <w:bCs/>
                <w:sz w:val="20"/>
              </w:rPr>
            </w:pPr>
            <w:r w:rsidRPr="00F7121D">
              <w:rPr>
                <w:rFonts w:cs="Arial"/>
                <w:b/>
                <w:bCs/>
                <w:sz w:val="20"/>
              </w:rPr>
              <w:t>Please provide volume of those who pay their premiums out of 1. Annuity, 2. Pay directly, 3. Convert life insurance to pay for premiums.</w:t>
            </w:r>
          </w:p>
        </w:tc>
        <w:tc>
          <w:tcPr>
            <w:tcW w:w="5490" w:type="dxa"/>
            <w:shd w:val="clear" w:color="auto" w:fill="DBE5F1" w:themeFill="accent1" w:themeFillTint="33"/>
          </w:tcPr>
          <w:p w14:paraId="136F93A8" w14:textId="7789FD6C" w:rsidR="004436D3" w:rsidRPr="00F7121D" w:rsidRDefault="004436D3" w:rsidP="00246B89">
            <w:pPr>
              <w:spacing w:after="160"/>
              <w:rPr>
                <w:rFonts w:cs="Arial"/>
                <w:b/>
                <w:bCs/>
                <w:sz w:val="20"/>
              </w:rPr>
            </w:pPr>
            <w:r>
              <w:rPr>
                <w:rFonts w:cs="Arial"/>
                <w:b/>
                <w:bCs/>
                <w:sz w:val="20"/>
              </w:rPr>
              <w:t xml:space="preserve">Currently, there are 13,098 members who pay premiums through annuity deductions, 2105 members who are direct billed and pay directly, and 134 members who pay premiums via life insurance conversion. These counts are fluid and vary from month to month. </w:t>
            </w:r>
          </w:p>
        </w:tc>
      </w:tr>
      <w:tr w:rsidR="004436D3" w:rsidRPr="0077031D" w14:paraId="3E3D2C21" w14:textId="77777777" w:rsidTr="00AC3150">
        <w:tc>
          <w:tcPr>
            <w:tcW w:w="720" w:type="dxa"/>
            <w:shd w:val="clear" w:color="auto" w:fill="EEECE1" w:themeFill="background2"/>
          </w:tcPr>
          <w:p w14:paraId="43E040D4" w14:textId="55B9C32D" w:rsidR="004436D3" w:rsidRPr="0077031D" w:rsidRDefault="004436D3" w:rsidP="00246B89">
            <w:pPr>
              <w:spacing w:after="160"/>
              <w:jc w:val="both"/>
              <w:rPr>
                <w:rFonts w:eastAsia="Calibri" w:cs="Arial"/>
                <w:b/>
                <w:bCs/>
                <w:sz w:val="20"/>
              </w:rPr>
            </w:pPr>
            <w:bookmarkStart w:id="36" w:name="_Hlk35849374"/>
            <w:r w:rsidRPr="0077031D">
              <w:rPr>
                <w:rFonts w:eastAsia="Calibri" w:cs="Arial"/>
                <w:b/>
                <w:bCs/>
                <w:sz w:val="20"/>
              </w:rPr>
              <w:t>Q76</w:t>
            </w:r>
          </w:p>
        </w:tc>
        <w:tc>
          <w:tcPr>
            <w:tcW w:w="1710" w:type="dxa"/>
            <w:shd w:val="clear" w:color="auto" w:fill="EEECE1" w:themeFill="background2"/>
          </w:tcPr>
          <w:p w14:paraId="0D23E680" w14:textId="4AE7D8D0" w:rsidR="004436D3" w:rsidRPr="0077031D" w:rsidRDefault="004436D3" w:rsidP="00246B89">
            <w:pPr>
              <w:spacing w:before="120" w:after="120"/>
              <w:jc w:val="both"/>
              <w:rPr>
                <w:rFonts w:cs="Arial"/>
                <w:b/>
                <w:bCs/>
                <w:sz w:val="20"/>
              </w:rPr>
            </w:pPr>
            <w:r w:rsidRPr="0077031D">
              <w:rPr>
                <w:rFonts w:cs="Arial"/>
                <w:b/>
                <w:bCs/>
                <w:sz w:val="20"/>
              </w:rPr>
              <w:t>RFP</w:t>
            </w:r>
          </w:p>
        </w:tc>
        <w:tc>
          <w:tcPr>
            <w:tcW w:w="1710" w:type="dxa"/>
            <w:shd w:val="clear" w:color="auto" w:fill="EEECE1" w:themeFill="background2"/>
          </w:tcPr>
          <w:p w14:paraId="354E7C0A" w14:textId="3B7579E1" w:rsidR="004436D3" w:rsidRPr="0077031D" w:rsidRDefault="004436D3" w:rsidP="00246B89">
            <w:pPr>
              <w:spacing w:after="160"/>
              <w:jc w:val="both"/>
              <w:rPr>
                <w:rFonts w:eastAsia="Calibri" w:cs="Arial"/>
                <w:b/>
                <w:bCs/>
                <w:sz w:val="20"/>
              </w:rPr>
            </w:pPr>
            <w:r w:rsidRPr="0077031D">
              <w:rPr>
                <w:rFonts w:eastAsia="Calibri" w:cs="Arial"/>
                <w:b/>
                <w:bCs/>
                <w:sz w:val="20"/>
              </w:rPr>
              <w:t>5</w:t>
            </w:r>
          </w:p>
        </w:tc>
        <w:tc>
          <w:tcPr>
            <w:tcW w:w="3420" w:type="dxa"/>
            <w:shd w:val="clear" w:color="auto" w:fill="EEECE1" w:themeFill="background2"/>
          </w:tcPr>
          <w:p w14:paraId="1EF966AC" w14:textId="49C45F6C" w:rsidR="004436D3" w:rsidRPr="0077031D" w:rsidRDefault="004436D3" w:rsidP="00246B89">
            <w:pPr>
              <w:rPr>
                <w:rFonts w:cs="Arial"/>
                <w:b/>
                <w:bCs/>
                <w:sz w:val="20"/>
              </w:rPr>
            </w:pPr>
            <w:r w:rsidRPr="0077031D">
              <w:rPr>
                <w:rFonts w:cs="Arial"/>
                <w:b/>
                <w:bCs/>
                <w:sz w:val="20"/>
              </w:rPr>
              <w:t>Please confirm data source for accumulated sick leave conversion credits and the Department’s ability to provide an automated interface with this information.</w:t>
            </w:r>
          </w:p>
        </w:tc>
        <w:tc>
          <w:tcPr>
            <w:tcW w:w="5490" w:type="dxa"/>
            <w:shd w:val="clear" w:color="auto" w:fill="EEECE1" w:themeFill="background2"/>
          </w:tcPr>
          <w:p w14:paraId="60E4A28F" w14:textId="66F2E7B1" w:rsidR="004436D3" w:rsidRPr="0077031D" w:rsidRDefault="004436D3" w:rsidP="00246B89">
            <w:pPr>
              <w:spacing w:after="160"/>
              <w:rPr>
                <w:rFonts w:cs="Arial"/>
                <w:b/>
                <w:bCs/>
                <w:sz w:val="20"/>
              </w:rPr>
            </w:pPr>
            <w:r>
              <w:rPr>
                <w:rFonts w:cs="Arial"/>
                <w:b/>
                <w:bCs/>
                <w:sz w:val="20"/>
              </w:rPr>
              <w:t xml:space="preserve">Currently, employers manually enter sick leave and related data from their payroll systems into AcSL, our existing sick leave system. AcSL then calculates and stores accumulated sick leave conversion credits for members in a database. This data is available to migrate to a new IAS, or to integrate with a new IAS if functionality to replace AcSL is not available.  </w:t>
            </w:r>
          </w:p>
        </w:tc>
      </w:tr>
      <w:bookmarkEnd w:id="36"/>
      <w:tr w:rsidR="004436D3" w:rsidRPr="00FD3EE3" w14:paraId="26DE7A54" w14:textId="77777777" w:rsidTr="00AC3150">
        <w:tc>
          <w:tcPr>
            <w:tcW w:w="720" w:type="dxa"/>
            <w:shd w:val="clear" w:color="auto" w:fill="DBE5F1" w:themeFill="accent1" w:themeFillTint="33"/>
          </w:tcPr>
          <w:p w14:paraId="11E3B00C" w14:textId="58761A81" w:rsidR="004436D3" w:rsidRPr="00FD3EE3" w:rsidRDefault="004436D3" w:rsidP="00246B89">
            <w:pPr>
              <w:spacing w:after="160"/>
              <w:jc w:val="both"/>
              <w:rPr>
                <w:rFonts w:eastAsia="Calibri" w:cs="Arial"/>
                <w:b/>
                <w:bCs/>
                <w:sz w:val="20"/>
              </w:rPr>
            </w:pPr>
            <w:r w:rsidRPr="00FD3EE3">
              <w:rPr>
                <w:rFonts w:eastAsia="Calibri" w:cs="Arial"/>
                <w:b/>
                <w:bCs/>
                <w:sz w:val="20"/>
              </w:rPr>
              <w:t>Q77</w:t>
            </w:r>
          </w:p>
        </w:tc>
        <w:tc>
          <w:tcPr>
            <w:tcW w:w="1710" w:type="dxa"/>
            <w:shd w:val="clear" w:color="auto" w:fill="DBE5F1" w:themeFill="accent1" w:themeFillTint="33"/>
          </w:tcPr>
          <w:p w14:paraId="66E58078" w14:textId="33779E30" w:rsidR="004436D3" w:rsidRPr="00FD3EE3" w:rsidRDefault="004436D3" w:rsidP="00246B89">
            <w:pPr>
              <w:spacing w:before="120" w:after="120"/>
              <w:jc w:val="both"/>
              <w:rPr>
                <w:rFonts w:cs="Arial"/>
                <w:b/>
                <w:bCs/>
                <w:sz w:val="20"/>
              </w:rPr>
            </w:pPr>
            <w:r w:rsidRPr="00FD3EE3">
              <w:rPr>
                <w:rFonts w:cs="Arial"/>
                <w:b/>
                <w:bCs/>
                <w:sz w:val="20"/>
              </w:rPr>
              <w:t>Integration</w:t>
            </w:r>
          </w:p>
        </w:tc>
        <w:tc>
          <w:tcPr>
            <w:tcW w:w="1710" w:type="dxa"/>
            <w:shd w:val="clear" w:color="auto" w:fill="DBE5F1" w:themeFill="accent1" w:themeFillTint="33"/>
          </w:tcPr>
          <w:p w14:paraId="0D7E59B5" w14:textId="377C1036" w:rsidR="004436D3" w:rsidRPr="00FD3EE3" w:rsidRDefault="004436D3" w:rsidP="00246B89">
            <w:pPr>
              <w:spacing w:after="160"/>
              <w:jc w:val="both"/>
              <w:rPr>
                <w:rFonts w:eastAsia="Calibri" w:cs="Arial"/>
                <w:b/>
                <w:bCs/>
                <w:sz w:val="20"/>
              </w:rPr>
            </w:pPr>
            <w:r w:rsidRPr="00FD3EE3">
              <w:rPr>
                <w:rFonts w:eastAsia="Calibri" w:cs="Arial"/>
                <w:b/>
                <w:bCs/>
                <w:sz w:val="20"/>
              </w:rPr>
              <w:t xml:space="preserve">12 </w:t>
            </w:r>
          </w:p>
        </w:tc>
        <w:tc>
          <w:tcPr>
            <w:tcW w:w="3420" w:type="dxa"/>
            <w:shd w:val="clear" w:color="auto" w:fill="DBE5F1" w:themeFill="accent1" w:themeFillTint="33"/>
          </w:tcPr>
          <w:p w14:paraId="43442DA0" w14:textId="25061490" w:rsidR="004436D3" w:rsidRPr="00FD3EE3" w:rsidRDefault="004436D3" w:rsidP="00246B89">
            <w:pPr>
              <w:rPr>
                <w:rFonts w:cs="Arial"/>
                <w:b/>
                <w:bCs/>
                <w:sz w:val="20"/>
              </w:rPr>
            </w:pPr>
            <w:r w:rsidRPr="00FD3EE3">
              <w:rPr>
                <w:rFonts w:cs="Arial"/>
                <w:b/>
                <w:bCs/>
                <w:sz w:val="20"/>
              </w:rPr>
              <w:t>What type of actions is ETF looking to accomplish with API's? Group creation? Data transfer? Employee invite initiation? Is it the expectation that the vendor will develop to the integrating platforms specs? Or may the contactor provide the specs for the requestor to develop to?</w:t>
            </w:r>
          </w:p>
        </w:tc>
        <w:tc>
          <w:tcPr>
            <w:tcW w:w="5490" w:type="dxa"/>
            <w:shd w:val="clear" w:color="auto" w:fill="DBE5F1" w:themeFill="accent1" w:themeFillTint="33"/>
          </w:tcPr>
          <w:p w14:paraId="299727CC" w14:textId="576DC9ED" w:rsidR="004436D3" w:rsidRPr="00FD3EE3" w:rsidRDefault="004436D3" w:rsidP="00246B89">
            <w:pPr>
              <w:spacing w:after="160"/>
              <w:rPr>
                <w:rFonts w:cs="Arial"/>
                <w:b/>
                <w:bCs/>
                <w:sz w:val="20"/>
              </w:rPr>
            </w:pPr>
            <w:r w:rsidRPr="00362D0C">
              <w:rPr>
                <w:rFonts w:cs="Arial"/>
                <w:b/>
                <w:bCs/>
                <w:sz w:val="20"/>
              </w:rPr>
              <w:t>The exact integrations will depend on the proposed solution and its capabilities, but may include the use of ETF-provided APIs called by the proposed system to support its operations, integrations with other third party applications that the proposed system will need to access to function, or other integrations needed to synchronize data or enable multi-system workflows.  ETF and the vendor will work together jointly to determine the specifications for the interfaces.  If the interface is one where other systems will be 'calling into' the vendor's system, ETF expects the vendor will provide the specifications to make those calls.</w:t>
            </w:r>
          </w:p>
        </w:tc>
      </w:tr>
      <w:tr w:rsidR="004436D3" w:rsidRPr="00C97F77" w14:paraId="511FDD36" w14:textId="77777777" w:rsidTr="00AC3150">
        <w:tc>
          <w:tcPr>
            <w:tcW w:w="720" w:type="dxa"/>
            <w:shd w:val="clear" w:color="auto" w:fill="EEECE1" w:themeFill="background2"/>
          </w:tcPr>
          <w:p w14:paraId="60728400" w14:textId="0FDAC68A" w:rsidR="004436D3" w:rsidRPr="00C97F77" w:rsidRDefault="004436D3" w:rsidP="00246B89">
            <w:pPr>
              <w:spacing w:after="160"/>
              <w:jc w:val="both"/>
              <w:rPr>
                <w:rFonts w:eastAsia="Calibri" w:cs="Arial"/>
                <w:b/>
                <w:bCs/>
                <w:sz w:val="20"/>
              </w:rPr>
            </w:pPr>
            <w:r w:rsidRPr="00C97F77">
              <w:rPr>
                <w:rFonts w:eastAsia="Calibri" w:cs="Arial"/>
                <w:b/>
                <w:bCs/>
                <w:sz w:val="20"/>
              </w:rPr>
              <w:lastRenderedPageBreak/>
              <w:t>Q78</w:t>
            </w:r>
          </w:p>
        </w:tc>
        <w:tc>
          <w:tcPr>
            <w:tcW w:w="1710" w:type="dxa"/>
            <w:shd w:val="clear" w:color="auto" w:fill="EEECE1" w:themeFill="background2"/>
          </w:tcPr>
          <w:p w14:paraId="243EE0B9" w14:textId="517590FB" w:rsidR="004436D3" w:rsidRPr="00C97F77" w:rsidRDefault="004436D3" w:rsidP="00246B89">
            <w:pPr>
              <w:spacing w:before="120" w:after="120"/>
              <w:rPr>
                <w:rFonts w:cs="Arial"/>
                <w:b/>
                <w:bCs/>
                <w:sz w:val="20"/>
              </w:rPr>
            </w:pPr>
            <w:r w:rsidRPr="00C97F77">
              <w:rPr>
                <w:rFonts w:cs="Arial"/>
                <w:b/>
                <w:bCs/>
                <w:sz w:val="20"/>
              </w:rPr>
              <w:t>Project Objectives and scope</w:t>
            </w:r>
          </w:p>
        </w:tc>
        <w:tc>
          <w:tcPr>
            <w:tcW w:w="1710" w:type="dxa"/>
            <w:shd w:val="clear" w:color="auto" w:fill="EEECE1" w:themeFill="background2"/>
          </w:tcPr>
          <w:p w14:paraId="1B3FE231" w14:textId="29CDBB33" w:rsidR="004436D3" w:rsidRPr="00C97F77" w:rsidRDefault="004436D3" w:rsidP="00246B89">
            <w:pPr>
              <w:spacing w:after="160"/>
              <w:jc w:val="both"/>
              <w:rPr>
                <w:rFonts w:eastAsia="Calibri" w:cs="Arial"/>
                <w:b/>
                <w:bCs/>
                <w:sz w:val="20"/>
              </w:rPr>
            </w:pPr>
            <w:r w:rsidRPr="00C97F77">
              <w:rPr>
                <w:rFonts w:eastAsia="Calibri" w:cs="Arial"/>
                <w:b/>
                <w:bCs/>
                <w:sz w:val="20"/>
              </w:rPr>
              <w:t>10</w:t>
            </w:r>
          </w:p>
        </w:tc>
        <w:tc>
          <w:tcPr>
            <w:tcW w:w="3420" w:type="dxa"/>
            <w:shd w:val="clear" w:color="auto" w:fill="EEECE1" w:themeFill="background2"/>
          </w:tcPr>
          <w:p w14:paraId="7CD52220" w14:textId="78BB74AF" w:rsidR="004436D3" w:rsidRPr="00C97F77" w:rsidRDefault="004436D3" w:rsidP="00246B89">
            <w:pPr>
              <w:rPr>
                <w:rFonts w:cs="Arial"/>
                <w:b/>
                <w:bCs/>
                <w:sz w:val="20"/>
              </w:rPr>
            </w:pPr>
            <w:r w:rsidRPr="00C97F77">
              <w:rPr>
                <w:rFonts w:cs="Arial"/>
                <w:b/>
                <w:bCs/>
                <w:sz w:val="20"/>
              </w:rPr>
              <w:t>Executing queries and other data extractions used to determine plan trends, usage patterns facilitate statistical analysis, etc. Are there any samples available?</w:t>
            </w:r>
          </w:p>
        </w:tc>
        <w:tc>
          <w:tcPr>
            <w:tcW w:w="5490" w:type="dxa"/>
            <w:shd w:val="clear" w:color="auto" w:fill="EEECE1" w:themeFill="background2"/>
          </w:tcPr>
          <w:p w14:paraId="178B2BE6" w14:textId="3741BF18" w:rsidR="004436D3" w:rsidRPr="00C97F77" w:rsidRDefault="004436D3" w:rsidP="00246B89">
            <w:pPr>
              <w:spacing w:after="160"/>
              <w:rPr>
                <w:rFonts w:cs="Arial"/>
                <w:b/>
                <w:bCs/>
                <w:sz w:val="20"/>
              </w:rPr>
            </w:pPr>
            <w:r w:rsidRPr="00C97F77">
              <w:rPr>
                <w:rFonts w:cs="Arial"/>
                <w:b/>
                <w:bCs/>
                <w:sz w:val="20"/>
              </w:rPr>
              <w:t xml:space="preserve">ETF does not currently have the capability to determine plan trends or usage patterns, but we are interested in any such capabilities the Proposer’s system offers. Please provide details of any such offerings your solution has or </w:t>
            </w:r>
            <w:r>
              <w:rPr>
                <w:rFonts w:cs="Arial"/>
                <w:b/>
                <w:bCs/>
                <w:sz w:val="20"/>
              </w:rPr>
              <w:t>can provide</w:t>
            </w:r>
            <w:r w:rsidRPr="00C97F77">
              <w:rPr>
                <w:rFonts w:cs="Arial"/>
                <w:b/>
                <w:bCs/>
                <w:sz w:val="20"/>
              </w:rPr>
              <w:t>.</w:t>
            </w:r>
          </w:p>
        </w:tc>
      </w:tr>
      <w:tr w:rsidR="004436D3" w:rsidRPr="00196F2B" w14:paraId="7BEE5A66" w14:textId="77777777" w:rsidTr="00AC3150">
        <w:tc>
          <w:tcPr>
            <w:tcW w:w="720" w:type="dxa"/>
            <w:shd w:val="clear" w:color="auto" w:fill="DBE5F1" w:themeFill="accent1" w:themeFillTint="33"/>
          </w:tcPr>
          <w:p w14:paraId="62AEA85E" w14:textId="4B1DD042" w:rsidR="004436D3" w:rsidRPr="00196F2B" w:rsidRDefault="004436D3" w:rsidP="00246B89">
            <w:pPr>
              <w:spacing w:after="160"/>
              <w:jc w:val="both"/>
              <w:rPr>
                <w:rFonts w:eastAsia="Calibri" w:cs="Arial"/>
                <w:b/>
                <w:bCs/>
                <w:sz w:val="20"/>
              </w:rPr>
            </w:pPr>
            <w:r w:rsidRPr="00196F2B">
              <w:rPr>
                <w:rFonts w:eastAsia="Calibri" w:cs="Arial"/>
                <w:b/>
                <w:bCs/>
                <w:sz w:val="20"/>
              </w:rPr>
              <w:t>Q79</w:t>
            </w:r>
          </w:p>
        </w:tc>
        <w:tc>
          <w:tcPr>
            <w:tcW w:w="1710" w:type="dxa"/>
            <w:shd w:val="clear" w:color="auto" w:fill="DBE5F1" w:themeFill="accent1" w:themeFillTint="33"/>
          </w:tcPr>
          <w:p w14:paraId="617DF79C" w14:textId="0282F96D" w:rsidR="004436D3" w:rsidRPr="00196F2B" w:rsidRDefault="004436D3" w:rsidP="00246B89">
            <w:pPr>
              <w:spacing w:before="120" w:after="120"/>
              <w:rPr>
                <w:rFonts w:cs="Arial"/>
                <w:b/>
                <w:bCs/>
                <w:sz w:val="20"/>
              </w:rPr>
            </w:pPr>
            <w:r w:rsidRPr="00196F2B">
              <w:rPr>
                <w:rFonts w:cs="Arial"/>
                <w:b/>
                <w:bCs/>
                <w:sz w:val="20"/>
              </w:rPr>
              <w:t>Project Objectives and scope</w:t>
            </w:r>
          </w:p>
        </w:tc>
        <w:tc>
          <w:tcPr>
            <w:tcW w:w="1710" w:type="dxa"/>
            <w:shd w:val="clear" w:color="auto" w:fill="DBE5F1" w:themeFill="accent1" w:themeFillTint="33"/>
          </w:tcPr>
          <w:p w14:paraId="3891173B" w14:textId="48E2EA36" w:rsidR="004436D3" w:rsidRPr="00196F2B" w:rsidRDefault="004436D3" w:rsidP="00246B89">
            <w:pPr>
              <w:spacing w:after="160"/>
              <w:jc w:val="both"/>
              <w:rPr>
                <w:rFonts w:eastAsia="Calibri" w:cs="Arial"/>
                <w:b/>
                <w:bCs/>
                <w:sz w:val="20"/>
              </w:rPr>
            </w:pPr>
            <w:r w:rsidRPr="00196F2B">
              <w:rPr>
                <w:rFonts w:eastAsia="Calibri" w:cs="Arial"/>
                <w:b/>
                <w:bCs/>
                <w:sz w:val="20"/>
              </w:rPr>
              <w:t>11</w:t>
            </w:r>
          </w:p>
        </w:tc>
        <w:tc>
          <w:tcPr>
            <w:tcW w:w="3420" w:type="dxa"/>
            <w:shd w:val="clear" w:color="auto" w:fill="DBE5F1" w:themeFill="accent1" w:themeFillTint="33"/>
          </w:tcPr>
          <w:p w14:paraId="3134FA11" w14:textId="7CEE6DD8" w:rsidR="004436D3" w:rsidRPr="00196F2B" w:rsidRDefault="004436D3" w:rsidP="00246B89">
            <w:pPr>
              <w:rPr>
                <w:rFonts w:cs="Arial"/>
                <w:b/>
                <w:bCs/>
                <w:sz w:val="20"/>
              </w:rPr>
            </w:pPr>
            <w:r w:rsidRPr="00196F2B">
              <w:rPr>
                <w:rFonts w:cs="Arial"/>
                <w:b/>
                <w:bCs/>
                <w:sz w:val="20"/>
              </w:rPr>
              <w:t>"Any and all necessary software customization to meet business and functionality requirements" Is this implying that contractor must able to any future customizations not scoped in the RFP?</w:t>
            </w:r>
          </w:p>
        </w:tc>
        <w:tc>
          <w:tcPr>
            <w:tcW w:w="5490" w:type="dxa"/>
            <w:shd w:val="clear" w:color="auto" w:fill="DBE5F1" w:themeFill="accent1" w:themeFillTint="33"/>
          </w:tcPr>
          <w:p w14:paraId="586A2A87" w14:textId="0C85C35A" w:rsidR="004436D3" w:rsidRPr="00196F2B" w:rsidRDefault="004436D3" w:rsidP="00246B89">
            <w:pPr>
              <w:spacing w:after="160"/>
              <w:rPr>
                <w:rFonts w:cs="Arial"/>
                <w:b/>
                <w:bCs/>
                <w:sz w:val="20"/>
              </w:rPr>
            </w:pPr>
            <w:r w:rsidRPr="00196F2B">
              <w:rPr>
                <w:rFonts w:cs="Arial"/>
                <w:b/>
                <w:bCs/>
                <w:sz w:val="20"/>
              </w:rPr>
              <w:t xml:space="preserve">No, this statement is not implying that Proposers must be able to meet future unknown need. Rather, this statement is saying that the agency is looking to partner with the best vendor/solution capable of meeting ETF’s current business and functional needs.  </w:t>
            </w:r>
          </w:p>
        </w:tc>
      </w:tr>
      <w:tr w:rsidR="004436D3" w:rsidRPr="00444137" w14:paraId="5B439601" w14:textId="77777777" w:rsidTr="00AC3150">
        <w:tc>
          <w:tcPr>
            <w:tcW w:w="720" w:type="dxa"/>
            <w:shd w:val="clear" w:color="auto" w:fill="EEECE1" w:themeFill="background2"/>
          </w:tcPr>
          <w:p w14:paraId="0B8F3EE2" w14:textId="7FFA2A94" w:rsidR="004436D3" w:rsidRPr="00444137" w:rsidRDefault="004436D3" w:rsidP="00246B89">
            <w:pPr>
              <w:spacing w:after="160"/>
              <w:jc w:val="both"/>
              <w:rPr>
                <w:rFonts w:eastAsia="Calibri" w:cs="Arial"/>
                <w:b/>
                <w:bCs/>
                <w:sz w:val="20"/>
              </w:rPr>
            </w:pPr>
            <w:r w:rsidRPr="00444137">
              <w:rPr>
                <w:rFonts w:eastAsia="Calibri" w:cs="Arial"/>
                <w:b/>
                <w:bCs/>
                <w:sz w:val="20"/>
              </w:rPr>
              <w:t>Q80</w:t>
            </w:r>
          </w:p>
        </w:tc>
        <w:tc>
          <w:tcPr>
            <w:tcW w:w="1710" w:type="dxa"/>
            <w:shd w:val="clear" w:color="auto" w:fill="EEECE1" w:themeFill="background2"/>
          </w:tcPr>
          <w:p w14:paraId="116C2D03" w14:textId="66EE7C32" w:rsidR="004436D3" w:rsidRPr="00444137" w:rsidRDefault="004436D3" w:rsidP="00246B89">
            <w:pPr>
              <w:spacing w:before="120" w:after="120"/>
              <w:rPr>
                <w:rFonts w:cs="Arial"/>
                <w:b/>
                <w:bCs/>
                <w:sz w:val="20"/>
              </w:rPr>
            </w:pPr>
            <w:r w:rsidRPr="00444137">
              <w:rPr>
                <w:rFonts w:cs="Arial"/>
                <w:b/>
                <w:bCs/>
                <w:sz w:val="20"/>
              </w:rPr>
              <w:t>Eforms and Portal Management</w:t>
            </w:r>
          </w:p>
        </w:tc>
        <w:tc>
          <w:tcPr>
            <w:tcW w:w="1710" w:type="dxa"/>
            <w:shd w:val="clear" w:color="auto" w:fill="EEECE1" w:themeFill="background2"/>
          </w:tcPr>
          <w:p w14:paraId="7E077572" w14:textId="661F6EF1" w:rsidR="004436D3" w:rsidRPr="00444137" w:rsidRDefault="004436D3" w:rsidP="00246B89">
            <w:pPr>
              <w:spacing w:after="160"/>
              <w:jc w:val="both"/>
              <w:rPr>
                <w:rFonts w:eastAsia="Calibri" w:cs="Arial"/>
                <w:b/>
                <w:bCs/>
                <w:sz w:val="20"/>
              </w:rPr>
            </w:pPr>
            <w:r w:rsidRPr="00444137">
              <w:rPr>
                <w:rFonts w:eastAsia="Calibri" w:cs="Arial"/>
                <w:b/>
                <w:bCs/>
                <w:sz w:val="20"/>
              </w:rPr>
              <w:t>3</w:t>
            </w:r>
          </w:p>
        </w:tc>
        <w:tc>
          <w:tcPr>
            <w:tcW w:w="3420" w:type="dxa"/>
            <w:shd w:val="clear" w:color="auto" w:fill="EEECE1" w:themeFill="background2"/>
          </w:tcPr>
          <w:p w14:paraId="7F31A0CE" w14:textId="6E3B1B7D" w:rsidR="004436D3" w:rsidRPr="00444137" w:rsidRDefault="004436D3" w:rsidP="00246B89">
            <w:pPr>
              <w:rPr>
                <w:rFonts w:cs="Arial"/>
                <w:b/>
                <w:bCs/>
                <w:sz w:val="20"/>
              </w:rPr>
            </w:pPr>
            <w:r w:rsidRPr="00444137">
              <w:rPr>
                <w:rFonts w:cs="Arial"/>
                <w:b/>
                <w:bCs/>
                <w:sz w:val="20"/>
              </w:rPr>
              <w:t>Eforms portal management - Can you give us some examples of what eforms you would need supported?</w:t>
            </w:r>
          </w:p>
        </w:tc>
        <w:tc>
          <w:tcPr>
            <w:tcW w:w="5490" w:type="dxa"/>
            <w:shd w:val="clear" w:color="auto" w:fill="EEECE1" w:themeFill="background2"/>
          </w:tcPr>
          <w:p w14:paraId="2DF2EB8F" w14:textId="063FB90A" w:rsidR="004436D3" w:rsidRPr="00444137" w:rsidRDefault="004436D3" w:rsidP="00246B89">
            <w:pPr>
              <w:spacing w:after="160"/>
              <w:rPr>
                <w:rFonts w:cs="Arial"/>
                <w:b/>
                <w:bCs/>
                <w:sz w:val="20"/>
              </w:rPr>
            </w:pPr>
            <w:r>
              <w:rPr>
                <w:rFonts w:cs="Arial"/>
                <w:b/>
                <w:bCs/>
                <w:sz w:val="20"/>
              </w:rPr>
              <w:t>See response to question Q2 above.</w:t>
            </w:r>
          </w:p>
        </w:tc>
      </w:tr>
      <w:tr w:rsidR="004436D3" w:rsidRPr="00E73EDF" w14:paraId="08FC0234" w14:textId="77777777" w:rsidTr="00AC3150">
        <w:tc>
          <w:tcPr>
            <w:tcW w:w="720" w:type="dxa"/>
            <w:shd w:val="clear" w:color="auto" w:fill="DBE5F1" w:themeFill="accent1" w:themeFillTint="33"/>
          </w:tcPr>
          <w:p w14:paraId="623EE086" w14:textId="25DB81EB" w:rsidR="004436D3" w:rsidRPr="00E73EDF" w:rsidRDefault="004436D3" w:rsidP="00246B89">
            <w:pPr>
              <w:spacing w:after="160"/>
              <w:jc w:val="both"/>
              <w:rPr>
                <w:rFonts w:eastAsia="Calibri" w:cs="Arial"/>
                <w:b/>
                <w:bCs/>
                <w:sz w:val="20"/>
              </w:rPr>
            </w:pPr>
            <w:r w:rsidRPr="00E73EDF">
              <w:rPr>
                <w:rFonts w:eastAsia="Calibri" w:cs="Arial"/>
                <w:b/>
                <w:bCs/>
                <w:sz w:val="20"/>
              </w:rPr>
              <w:t>Q81</w:t>
            </w:r>
          </w:p>
        </w:tc>
        <w:tc>
          <w:tcPr>
            <w:tcW w:w="1710" w:type="dxa"/>
            <w:shd w:val="clear" w:color="auto" w:fill="DBE5F1" w:themeFill="accent1" w:themeFillTint="33"/>
          </w:tcPr>
          <w:p w14:paraId="21386D2B" w14:textId="56F27D81" w:rsidR="004436D3" w:rsidRPr="00E73EDF" w:rsidRDefault="004436D3" w:rsidP="00246B89">
            <w:pPr>
              <w:spacing w:before="120" w:after="120"/>
              <w:rPr>
                <w:rFonts w:cs="Arial"/>
                <w:b/>
                <w:bCs/>
                <w:sz w:val="20"/>
              </w:rPr>
            </w:pPr>
            <w:r w:rsidRPr="00E73EDF">
              <w:rPr>
                <w:rFonts w:cs="Arial"/>
                <w:b/>
                <w:bCs/>
                <w:sz w:val="20"/>
              </w:rPr>
              <w:t>Project Objectives and scope</w:t>
            </w:r>
          </w:p>
        </w:tc>
        <w:tc>
          <w:tcPr>
            <w:tcW w:w="1710" w:type="dxa"/>
            <w:shd w:val="clear" w:color="auto" w:fill="DBE5F1" w:themeFill="accent1" w:themeFillTint="33"/>
          </w:tcPr>
          <w:p w14:paraId="0CC0C119" w14:textId="4E75B6BB" w:rsidR="004436D3" w:rsidRPr="00E73EDF" w:rsidRDefault="004436D3" w:rsidP="00246B89">
            <w:pPr>
              <w:spacing w:after="160"/>
              <w:jc w:val="both"/>
              <w:rPr>
                <w:rFonts w:eastAsia="Calibri" w:cs="Arial"/>
                <w:b/>
                <w:bCs/>
                <w:sz w:val="20"/>
              </w:rPr>
            </w:pPr>
            <w:r w:rsidRPr="00E73EDF">
              <w:rPr>
                <w:rFonts w:eastAsia="Calibri" w:cs="Arial"/>
                <w:b/>
                <w:bCs/>
                <w:sz w:val="20"/>
              </w:rPr>
              <w:t>11</w:t>
            </w:r>
          </w:p>
        </w:tc>
        <w:tc>
          <w:tcPr>
            <w:tcW w:w="3420" w:type="dxa"/>
            <w:shd w:val="clear" w:color="auto" w:fill="DBE5F1" w:themeFill="accent1" w:themeFillTint="33"/>
          </w:tcPr>
          <w:p w14:paraId="59BC9194" w14:textId="77A69D90" w:rsidR="004436D3" w:rsidRPr="00E73EDF" w:rsidRDefault="004436D3" w:rsidP="00246B89">
            <w:pPr>
              <w:rPr>
                <w:rFonts w:cs="Arial"/>
                <w:b/>
                <w:bCs/>
                <w:sz w:val="20"/>
              </w:rPr>
            </w:pPr>
            <w:r w:rsidRPr="00E73EDF">
              <w:rPr>
                <w:rFonts w:cs="Arial"/>
                <w:b/>
                <w:bCs/>
                <w:sz w:val="20"/>
              </w:rPr>
              <w:t>Is it a requirement that the vendor hands over code and development to ETF developers or can they assume the responsibility?</w:t>
            </w:r>
          </w:p>
        </w:tc>
        <w:tc>
          <w:tcPr>
            <w:tcW w:w="5490" w:type="dxa"/>
            <w:shd w:val="clear" w:color="auto" w:fill="DBE5F1" w:themeFill="accent1" w:themeFillTint="33"/>
          </w:tcPr>
          <w:p w14:paraId="3229CF21" w14:textId="2DA7D6D5" w:rsidR="004436D3" w:rsidRPr="00E73EDF" w:rsidRDefault="004436D3" w:rsidP="00246B89">
            <w:pPr>
              <w:spacing w:after="160"/>
              <w:rPr>
                <w:rFonts w:cs="Arial"/>
                <w:b/>
                <w:bCs/>
                <w:sz w:val="20"/>
              </w:rPr>
            </w:pPr>
            <w:r w:rsidRPr="00E73EDF">
              <w:rPr>
                <w:rFonts w:cs="Arial"/>
                <w:b/>
                <w:bCs/>
                <w:sz w:val="20"/>
              </w:rPr>
              <w:t xml:space="preserve">ETF expects the vendor to provide all development-related activities. In certain circumstances, ETF may look to take over configuration responsibilities in the future (this is unknown at this point). However, this would depend upon the model selected and the vendor’s capabilities to handoff this responsibility. </w:t>
            </w:r>
          </w:p>
        </w:tc>
      </w:tr>
      <w:tr w:rsidR="004436D3" w:rsidRPr="001912F8" w14:paraId="4E5E1EB9" w14:textId="77777777" w:rsidTr="00AC3150">
        <w:tc>
          <w:tcPr>
            <w:tcW w:w="720" w:type="dxa"/>
            <w:shd w:val="clear" w:color="auto" w:fill="EEECE1" w:themeFill="background2"/>
          </w:tcPr>
          <w:p w14:paraId="0A66EC96" w14:textId="524DCD23" w:rsidR="004436D3" w:rsidRPr="001912F8" w:rsidRDefault="004436D3" w:rsidP="00246B89">
            <w:pPr>
              <w:spacing w:after="160"/>
              <w:jc w:val="both"/>
              <w:rPr>
                <w:rFonts w:eastAsia="Calibri" w:cs="Arial"/>
                <w:b/>
                <w:bCs/>
                <w:sz w:val="20"/>
              </w:rPr>
            </w:pPr>
            <w:r w:rsidRPr="001912F8">
              <w:rPr>
                <w:rFonts w:eastAsia="Calibri" w:cs="Arial"/>
                <w:b/>
                <w:bCs/>
                <w:sz w:val="20"/>
              </w:rPr>
              <w:t>Q82</w:t>
            </w:r>
          </w:p>
        </w:tc>
        <w:tc>
          <w:tcPr>
            <w:tcW w:w="1710" w:type="dxa"/>
            <w:shd w:val="clear" w:color="auto" w:fill="EEECE1" w:themeFill="background2"/>
          </w:tcPr>
          <w:p w14:paraId="298EF1FD" w14:textId="0B1FFCA3" w:rsidR="004436D3" w:rsidRPr="001912F8" w:rsidRDefault="004436D3" w:rsidP="00246B89">
            <w:pPr>
              <w:spacing w:before="120" w:after="120"/>
              <w:rPr>
                <w:rFonts w:cs="Arial"/>
                <w:b/>
                <w:bCs/>
                <w:sz w:val="20"/>
              </w:rPr>
            </w:pPr>
            <w:r w:rsidRPr="001912F8">
              <w:rPr>
                <w:rFonts w:cs="Arial"/>
                <w:b/>
                <w:bCs/>
                <w:sz w:val="20"/>
              </w:rPr>
              <w:t>Intro</w:t>
            </w:r>
          </w:p>
        </w:tc>
        <w:tc>
          <w:tcPr>
            <w:tcW w:w="1710" w:type="dxa"/>
            <w:shd w:val="clear" w:color="auto" w:fill="EEECE1" w:themeFill="background2"/>
          </w:tcPr>
          <w:p w14:paraId="6BE632ED" w14:textId="652BACC3" w:rsidR="004436D3" w:rsidRPr="001912F8" w:rsidRDefault="004436D3" w:rsidP="00246B89">
            <w:pPr>
              <w:spacing w:after="160"/>
              <w:jc w:val="both"/>
              <w:rPr>
                <w:rFonts w:eastAsia="Calibri" w:cs="Arial"/>
                <w:b/>
                <w:bCs/>
                <w:sz w:val="20"/>
              </w:rPr>
            </w:pPr>
            <w:r w:rsidRPr="001912F8">
              <w:rPr>
                <w:rFonts w:eastAsia="Calibri" w:cs="Arial"/>
                <w:b/>
                <w:bCs/>
                <w:sz w:val="20"/>
              </w:rPr>
              <w:t>3</w:t>
            </w:r>
          </w:p>
        </w:tc>
        <w:tc>
          <w:tcPr>
            <w:tcW w:w="3420" w:type="dxa"/>
            <w:shd w:val="clear" w:color="auto" w:fill="EEECE1" w:themeFill="background2"/>
          </w:tcPr>
          <w:p w14:paraId="793C9AE4" w14:textId="229E625C" w:rsidR="004436D3" w:rsidRPr="001912F8" w:rsidRDefault="004436D3" w:rsidP="00246B89">
            <w:pPr>
              <w:rPr>
                <w:rFonts w:cs="Arial"/>
                <w:b/>
                <w:bCs/>
                <w:sz w:val="20"/>
              </w:rPr>
            </w:pPr>
            <w:r w:rsidRPr="001912F8">
              <w:rPr>
                <w:rFonts w:cs="Arial"/>
                <w:b/>
                <w:bCs/>
                <w:sz w:val="20"/>
              </w:rPr>
              <w:t>"The Department intends to use the results of this solicitation to award a Contract for an Insurance Administration System (IAS). The Contract will be administered and managed by the Department. This RFP document, its attachments, addendums, and the awarded Proposal will be incorporated into the Contract."</w:t>
            </w:r>
          </w:p>
        </w:tc>
        <w:tc>
          <w:tcPr>
            <w:tcW w:w="5490" w:type="dxa"/>
            <w:shd w:val="clear" w:color="auto" w:fill="EEECE1" w:themeFill="background2"/>
          </w:tcPr>
          <w:p w14:paraId="250F1324" w14:textId="53969137" w:rsidR="004436D3" w:rsidRPr="001912F8" w:rsidRDefault="004436D3" w:rsidP="00246B89">
            <w:pPr>
              <w:spacing w:after="160"/>
              <w:rPr>
                <w:rFonts w:cs="Arial"/>
                <w:b/>
                <w:bCs/>
                <w:sz w:val="20"/>
              </w:rPr>
            </w:pPr>
            <w:r w:rsidRPr="001912F8">
              <w:rPr>
                <w:rFonts w:cs="Arial"/>
                <w:b/>
                <w:bCs/>
                <w:sz w:val="20"/>
              </w:rPr>
              <w:t>There is no question here.</w:t>
            </w:r>
          </w:p>
        </w:tc>
      </w:tr>
      <w:tr w:rsidR="004436D3" w:rsidRPr="00D928BF" w14:paraId="4D4AEEA8" w14:textId="77777777" w:rsidTr="00AC3150">
        <w:tc>
          <w:tcPr>
            <w:tcW w:w="720" w:type="dxa"/>
            <w:shd w:val="clear" w:color="auto" w:fill="DBE5F1" w:themeFill="accent1" w:themeFillTint="33"/>
          </w:tcPr>
          <w:p w14:paraId="6F422432" w14:textId="02856C40" w:rsidR="004436D3" w:rsidRPr="00D928BF" w:rsidRDefault="004436D3" w:rsidP="00246B89">
            <w:pPr>
              <w:spacing w:after="160"/>
              <w:jc w:val="both"/>
              <w:rPr>
                <w:rFonts w:eastAsia="Calibri" w:cs="Arial"/>
                <w:b/>
                <w:bCs/>
                <w:sz w:val="20"/>
              </w:rPr>
            </w:pPr>
            <w:bookmarkStart w:id="37" w:name="_Hlk35848662"/>
            <w:r w:rsidRPr="00D928BF">
              <w:rPr>
                <w:rFonts w:eastAsia="Calibri" w:cs="Arial"/>
                <w:b/>
                <w:bCs/>
                <w:sz w:val="20"/>
              </w:rPr>
              <w:t>Q83</w:t>
            </w:r>
          </w:p>
        </w:tc>
        <w:tc>
          <w:tcPr>
            <w:tcW w:w="1710" w:type="dxa"/>
            <w:shd w:val="clear" w:color="auto" w:fill="DBE5F1" w:themeFill="accent1" w:themeFillTint="33"/>
          </w:tcPr>
          <w:p w14:paraId="57737F7C" w14:textId="18C2154A" w:rsidR="004436D3" w:rsidRPr="00D928BF" w:rsidRDefault="004436D3" w:rsidP="00246B89">
            <w:pPr>
              <w:spacing w:before="120" w:after="120"/>
              <w:rPr>
                <w:rFonts w:cs="Arial"/>
                <w:b/>
                <w:bCs/>
                <w:sz w:val="20"/>
              </w:rPr>
            </w:pPr>
            <w:r w:rsidRPr="00D928BF">
              <w:rPr>
                <w:rFonts w:cs="Arial"/>
                <w:b/>
                <w:bCs/>
                <w:sz w:val="20"/>
              </w:rPr>
              <w:t>Income Continuation</w:t>
            </w:r>
          </w:p>
        </w:tc>
        <w:tc>
          <w:tcPr>
            <w:tcW w:w="1710" w:type="dxa"/>
            <w:shd w:val="clear" w:color="auto" w:fill="DBE5F1" w:themeFill="accent1" w:themeFillTint="33"/>
          </w:tcPr>
          <w:p w14:paraId="04EE927D" w14:textId="68B774F2" w:rsidR="004436D3" w:rsidRPr="00D928BF" w:rsidRDefault="004436D3" w:rsidP="00246B89">
            <w:pPr>
              <w:spacing w:after="160"/>
              <w:jc w:val="both"/>
              <w:rPr>
                <w:rFonts w:eastAsia="Calibri" w:cs="Arial"/>
                <w:b/>
                <w:bCs/>
                <w:sz w:val="20"/>
              </w:rPr>
            </w:pPr>
            <w:r w:rsidRPr="00D928BF">
              <w:rPr>
                <w:rFonts w:eastAsia="Calibri" w:cs="Arial"/>
                <w:b/>
                <w:bCs/>
                <w:sz w:val="20"/>
              </w:rPr>
              <w:t>7</w:t>
            </w:r>
          </w:p>
        </w:tc>
        <w:tc>
          <w:tcPr>
            <w:tcW w:w="3420" w:type="dxa"/>
            <w:shd w:val="clear" w:color="auto" w:fill="DBE5F1" w:themeFill="accent1" w:themeFillTint="33"/>
          </w:tcPr>
          <w:p w14:paraId="4F76821A" w14:textId="22CF1B7A" w:rsidR="004436D3" w:rsidRPr="00D928BF" w:rsidRDefault="004436D3" w:rsidP="00246B89">
            <w:pPr>
              <w:rPr>
                <w:rFonts w:cs="Arial"/>
                <w:b/>
                <w:bCs/>
                <w:sz w:val="20"/>
              </w:rPr>
            </w:pPr>
            <w:r w:rsidRPr="00D928BF">
              <w:rPr>
                <w:rFonts w:cs="Arial"/>
                <w:b/>
                <w:bCs/>
                <w:sz w:val="20"/>
              </w:rPr>
              <w:t xml:space="preserve">Is ETF looking for a solution to track member eligibility (i.e., elimination period)? Or is ETF </w:t>
            </w:r>
            <w:r w:rsidRPr="00D928BF">
              <w:rPr>
                <w:rFonts w:cs="Arial"/>
                <w:b/>
                <w:bCs/>
                <w:sz w:val="20"/>
              </w:rPr>
              <w:lastRenderedPageBreak/>
              <w:t>looking to be able to enroll after elimination periods stated?</w:t>
            </w:r>
          </w:p>
        </w:tc>
        <w:tc>
          <w:tcPr>
            <w:tcW w:w="5490" w:type="dxa"/>
            <w:shd w:val="clear" w:color="auto" w:fill="DBE5F1" w:themeFill="accent1" w:themeFillTint="33"/>
          </w:tcPr>
          <w:p w14:paraId="1069FE3C" w14:textId="2CD6F1E0" w:rsidR="004436D3" w:rsidRPr="00D928BF" w:rsidRDefault="004436D3" w:rsidP="00D015AB">
            <w:pPr>
              <w:spacing w:after="160"/>
              <w:rPr>
                <w:rFonts w:cs="Arial"/>
                <w:b/>
                <w:bCs/>
                <w:sz w:val="20"/>
              </w:rPr>
            </w:pPr>
            <w:r w:rsidRPr="00D928BF">
              <w:rPr>
                <w:rFonts w:cs="Arial"/>
                <w:b/>
                <w:bCs/>
                <w:sz w:val="20"/>
              </w:rPr>
              <w:lastRenderedPageBreak/>
              <w:t xml:space="preserve">ETF is looking for the new IAS to manage and facilitate ICI eligibility, enrollment, invoicing, and premium payments. To do so will require the capture and </w:t>
            </w:r>
            <w:r w:rsidRPr="00D928BF">
              <w:rPr>
                <w:rFonts w:cs="Arial"/>
                <w:b/>
                <w:bCs/>
                <w:sz w:val="20"/>
              </w:rPr>
              <w:lastRenderedPageBreak/>
              <w:t>tracking of multiple data elements, including, but not limited to, both eligible and enrolled employees, ICI salary basis, premium categories, elimination periods, year-end sick leave data, etc.</w:t>
            </w:r>
          </w:p>
        </w:tc>
      </w:tr>
      <w:tr w:rsidR="004436D3" w:rsidRPr="00ED12DE" w14:paraId="23F3B581" w14:textId="77777777" w:rsidTr="00AC3150">
        <w:tc>
          <w:tcPr>
            <w:tcW w:w="720" w:type="dxa"/>
            <w:shd w:val="clear" w:color="auto" w:fill="EEECE1" w:themeFill="background2"/>
          </w:tcPr>
          <w:p w14:paraId="26BE6593" w14:textId="201C103B" w:rsidR="004436D3" w:rsidRPr="00ED12DE" w:rsidRDefault="004436D3" w:rsidP="00246B89">
            <w:pPr>
              <w:spacing w:after="160"/>
              <w:jc w:val="both"/>
              <w:rPr>
                <w:rFonts w:eastAsia="Calibri" w:cs="Arial"/>
                <w:b/>
                <w:bCs/>
                <w:sz w:val="20"/>
              </w:rPr>
            </w:pPr>
            <w:r w:rsidRPr="00ED12DE">
              <w:rPr>
                <w:rFonts w:eastAsia="Calibri" w:cs="Arial"/>
                <w:b/>
                <w:bCs/>
                <w:sz w:val="20"/>
              </w:rPr>
              <w:lastRenderedPageBreak/>
              <w:t>Q84</w:t>
            </w:r>
          </w:p>
        </w:tc>
        <w:tc>
          <w:tcPr>
            <w:tcW w:w="1710" w:type="dxa"/>
            <w:shd w:val="clear" w:color="auto" w:fill="EEECE1" w:themeFill="background2"/>
          </w:tcPr>
          <w:p w14:paraId="714B8520" w14:textId="704240C5" w:rsidR="004436D3" w:rsidRPr="00ED12DE" w:rsidRDefault="004436D3" w:rsidP="00246B89">
            <w:pPr>
              <w:spacing w:before="120" w:after="120"/>
              <w:rPr>
                <w:rFonts w:cs="Arial"/>
                <w:b/>
                <w:bCs/>
                <w:sz w:val="20"/>
              </w:rPr>
            </w:pPr>
            <w:r w:rsidRPr="00ED12DE">
              <w:rPr>
                <w:rFonts w:cs="Arial"/>
                <w:b/>
                <w:bCs/>
                <w:sz w:val="20"/>
              </w:rPr>
              <w:t>Income Continuation</w:t>
            </w:r>
          </w:p>
        </w:tc>
        <w:tc>
          <w:tcPr>
            <w:tcW w:w="1710" w:type="dxa"/>
            <w:shd w:val="clear" w:color="auto" w:fill="EEECE1" w:themeFill="background2"/>
          </w:tcPr>
          <w:p w14:paraId="793F1CD3" w14:textId="4BD1EEAD" w:rsidR="004436D3" w:rsidRPr="00ED12DE" w:rsidRDefault="004436D3" w:rsidP="00246B89">
            <w:pPr>
              <w:spacing w:after="160"/>
              <w:jc w:val="both"/>
              <w:rPr>
                <w:rFonts w:eastAsia="Calibri" w:cs="Arial"/>
                <w:b/>
                <w:bCs/>
                <w:sz w:val="20"/>
              </w:rPr>
            </w:pPr>
            <w:r w:rsidRPr="00ED12DE">
              <w:rPr>
                <w:rFonts w:eastAsia="Calibri" w:cs="Arial"/>
                <w:b/>
                <w:bCs/>
                <w:sz w:val="20"/>
              </w:rPr>
              <w:t>7</w:t>
            </w:r>
          </w:p>
        </w:tc>
        <w:tc>
          <w:tcPr>
            <w:tcW w:w="3420" w:type="dxa"/>
            <w:shd w:val="clear" w:color="auto" w:fill="EEECE1" w:themeFill="background2"/>
          </w:tcPr>
          <w:p w14:paraId="0541C2C4" w14:textId="51808DEF" w:rsidR="004436D3" w:rsidRPr="00ED12DE" w:rsidRDefault="004436D3" w:rsidP="00246B89">
            <w:pPr>
              <w:rPr>
                <w:rFonts w:cs="Arial"/>
                <w:b/>
                <w:bCs/>
                <w:sz w:val="20"/>
              </w:rPr>
            </w:pPr>
            <w:r w:rsidRPr="00ED12DE">
              <w:rPr>
                <w:rFonts w:cs="Arial"/>
                <w:b/>
                <w:bCs/>
                <w:sz w:val="20"/>
              </w:rPr>
              <w:t>Does solution need to track sick leave?</w:t>
            </w:r>
          </w:p>
        </w:tc>
        <w:tc>
          <w:tcPr>
            <w:tcW w:w="5490" w:type="dxa"/>
            <w:shd w:val="clear" w:color="auto" w:fill="EEECE1" w:themeFill="background2"/>
          </w:tcPr>
          <w:p w14:paraId="46D99346" w14:textId="3A5AA9D7" w:rsidR="004436D3" w:rsidRPr="00ED12DE" w:rsidRDefault="004436D3" w:rsidP="00246B89">
            <w:pPr>
              <w:spacing w:after="160"/>
              <w:rPr>
                <w:rFonts w:cs="Arial"/>
                <w:b/>
                <w:bCs/>
                <w:sz w:val="20"/>
              </w:rPr>
            </w:pPr>
            <w:r w:rsidRPr="00ED12DE">
              <w:rPr>
                <w:rFonts w:cs="Arial"/>
                <w:b/>
                <w:bCs/>
                <w:sz w:val="20"/>
              </w:rPr>
              <w:t xml:space="preserve">Certain sick leave data elements will be needed to accurately manage and facilitate ICI eligibility, enrollment and invoicing. Currently, that sick leave data exists solely in state employer payroll system records and does not interface with ETF systems. We are interested in any capabilities, functionality, and recommendations the Proposer’s system offers to effectively manage this benefit program. </w:t>
            </w:r>
          </w:p>
        </w:tc>
      </w:tr>
      <w:bookmarkEnd w:id="37"/>
      <w:tr w:rsidR="004436D3" w:rsidRPr="00F61A39" w14:paraId="1BA6A272" w14:textId="77777777" w:rsidTr="00AC3150">
        <w:tc>
          <w:tcPr>
            <w:tcW w:w="720" w:type="dxa"/>
            <w:shd w:val="clear" w:color="auto" w:fill="DBE5F1" w:themeFill="accent1" w:themeFillTint="33"/>
          </w:tcPr>
          <w:p w14:paraId="534E7933" w14:textId="20878B85" w:rsidR="004436D3" w:rsidRPr="00F61A39" w:rsidRDefault="004436D3" w:rsidP="00246B89">
            <w:pPr>
              <w:spacing w:after="160"/>
              <w:jc w:val="both"/>
              <w:rPr>
                <w:rFonts w:eastAsia="Calibri" w:cs="Arial"/>
                <w:b/>
                <w:bCs/>
                <w:sz w:val="20"/>
              </w:rPr>
            </w:pPr>
            <w:r w:rsidRPr="00F61A39">
              <w:rPr>
                <w:rFonts w:eastAsia="Calibri" w:cs="Arial"/>
                <w:b/>
                <w:bCs/>
                <w:sz w:val="20"/>
              </w:rPr>
              <w:t>Q85</w:t>
            </w:r>
          </w:p>
        </w:tc>
        <w:tc>
          <w:tcPr>
            <w:tcW w:w="1710" w:type="dxa"/>
            <w:shd w:val="clear" w:color="auto" w:fill="DBE5F1" w:themeFill="accent1" w:themeFillTint="33"/>
          </w:tcPr>
          <w:p w14:paraId="048C8162" w14:textId="75D01D1D" w:rsidR="004436D3" w:rsidRPr="00F61A39" w:rsidRDefault="004436D3" w:rsidP="00246B89">
            <w:pPr>
              <w:spacing w:before="120" w:after="120"/>
              <w:rPr>
                <w:rFonts w:cs="Arial"/>
                <w:b/>
                <w:bCs/>
                <w:sz w:val="20"/>
              </w:rPr>
            </w:pPr>
            <w:r w:rsidRPr="00F61A39">
              <w:rPr>
                <w:rFonts w:cs="Arial"/>
                <w:b/>
                <w:bCs/>
                <w:sz w:val="20"/>
              </w:rPr>
              <w:t>Project Objectives and scope</w:t>
            </w:r>
          </w:p>
        </w:tc>
        <w:tc>
          <w:tcPr>
            <w:tcW w:w="1710" w:type="dxa"/>
            <w:shd w:val="clear" w:color="auto" w:fill="DBE5F1" w:themeFill="accent1" w:themeFillTint="33"/>
          </w:tcPr>
          <w:p w14:paraId="1D4C36A4" w14:textId="77777777" w:rsidR="004436D3" w:rsidRPr="00F61A39" w:rsidRDefault="004436D3" w:rsidP="00246B89">
            <w:pPr>
              <w:spacing w:after="160"/>
              <w:jc w:val="both"/>
              <w:rPr>
                <w:rFonts w:eastAsia="Calibri" w:cs="Arial"/>
                <w:b/>
                <w:bCs/>
                <w:sz w:val="20"/>
              </w:rPr>
            </w:pPr>
          </w:p>
        </w:tc>
        <w:tc>
          <w:tcPr>
            <w:tcW w:w="3420" w:type="dxa"/>
            <w:shd w:val="clear" w:color="auto" w:fill="DBE5F1" w:themeFill="accent1" w:themeFillTint="33"/>
          </w:tcPr>
          <w:p w14:paraId="0FD8E13C" w14:textId="37F0E35D" w:rsidR="004436D3" w:rsidRPr="00F61A39" w:rsidRDefault="004436D3" w:rsidP="00246B89">
            <w:pPr>
              <w:rPr>
                <w:rFonts w:cs="Arial"/>
                <w:b/>
                <w:bCs/>
                <w:sz w:val="20"/>
              </w:rPr>
            </w:pPr>
            <w:r w:rsidRPr="00F61A39">
              <w:rPr>
                <w:rFonts w:cs="Arial"/>
                <w:b/>
                <w:bCs/>
                <w:sz w:val="20"/>
              </w:rPr>
              <w:t>Do all member change transactions need to be reviewed by a human, or can system validations and rules engines mitigate manual audit requirements? Also, who is required to audit in this arrangement, the Business Associate, or the Covered Entity?</w:t>
            </w:r>
          </w:p>
        </w:tc>
        <w:tc>
          <w:tcPr>
            <w:tcW w:w="5490" w:type="dxa"/>
            <w:shd w:val="clear" w:color="auto" w:fill="DBE5F1" w:themeFill="accent1" w:themeFillTint="33"/>
          </w:tcPr>
          <w:p w14:paraId="26ED7D99" w14:textId="499C38A9" w:rsidR="004436D3" w:rsidRPr="00F61A39" w:rsidRDefault="004436D3" w:rsidP="00246B89">
            <w:pPr>
              <w:spacing w:after="160"/>
              <w:rPr>
                <w:rFonts w:cs="Arial"/>
                <w:b/>
                <w:bCs/>
                <w:sz w:val="20"/>
              </w:rPr>
            </w:pPr>
            <w:r w:rsidRPr="00F61A39">
              <w:rPr>
                <w:rFonts w:cs="Arial"/>
                <w:b/>
                <w:bCs/>
                <w:sz w:val="20"/>
              </w:rPr>
              <w:t xml:space="preserve">ETF anticipates that some transactions will be candidates for automatic system validation via business rules and other validation parameters established during design sessions. However, it is not possible at this point to determine if all (or which ones, if not all) member change transactions could be handled via system processing. </w:t>
            </w:r>
          </w:p>
          <w:p w14:paraId="0E45825B" w14:textId="4F7D69E1" w:rsidR="004436D3" w:rsidRPr="00F61A39" w:rsidRDefault="004436D3" w:rsidP="00F61A39">
            <w:pPr>
              <w:spacing w:after="160"/>
              <w:rPr>
                <w:rFonts w:cs="Arial"/>
                <w:b/>
                <w:bCs/>
                <w:sz w:val="20"/>
              </w:rPr>
            </w:pPr>
            <w:r w:rsidRPr="00F61A39">
              <w:rPr>
                <w:rFonts w:cs="Arial"/>
                <w:b/>
                <w:bCs/>
                <w:sz w:val="20"/>
              </w:rPr>
              <w:t xml:space="preserve">The appropriate party to audit a particular transaction will depend on the specifics of that transaction, what system validations exist, data source, etc. Decisions regarding the appropriate party to audit a given transaction will be determined during design sessions. </w:t>
            </w:r>
          </w:p>
        </w:tc>
      </w:tr>
      <w:tr w:rsidR="004436D3" w:rsidRPr="007D2BB7" w14:paraId="3636ED77" w14:textId="77777777" w:rsidTr="00AC3150">
        <w:tc>
          <w:tcPr>
            <w:tcW w:w="720" w:type="dxa"/>
            <w:shd w:val="clear" w:color="auto" w:fill="EEECE1" w:themeFill="background2"/>
          </w:tcPr>
          <w:p w14:paraId="7A80285E" w14:textId="25F28F37" w:rsidR="004436D3" w:rsidRPr="007D2BB7" w:rsidRDefault="004436D3" w:rsidP="00246B89">
            <w:pPr>
              <w:spacing w:after="160"/>
              <w:jc w:val="both"/>
              <w:rPr>
                <w:rFonts w:eastAsia="Calibri" w:cs="Arial"/>
                <w:b/>
                <w:bCs/>
                <w:sz w:val="20"/>
              </w:rPr>
            </w:pPr>
            <w:r w:rsidRPr="007D2BB7">
              <w:rPr>
                <w:rFonts w:eastAsia="Calibri" w:cs="Arial"/>
                <w:b/>
                <w:bCs/>
                <w:sz w:val="20"/>
              </w:rPr>
              <w:t>Q86</w:t>
            </w:r>
          </w:p>
        </w:tc>
        <w:tc>
          <w:tcPr>
            <w:tcW w:w="1710" w:type="dxa"/>
            <w:shd w:val="clear" w:color="auto" w:fill="EEECE1" w:themeFill="background2"/>
          </w:tcPr>
          <w:p w14:paraId="21998866" w14:textId="686BC78A" w:rsidR="004436D3" w:rsidRPr="007D2BB7" w:rsidRDefault="004436D3" w:rsidP="00246B89">
            <w:pPr>
              <w:spacing w:before="120" w:after="120"/>
              <w:rPr>
                <w:rFonts w:cs="Arial"/>
                <w:b/>
                <w:bCs/>
                <w:sz w:val="20"/>
              </w:rPr>
            </w:pPr>
            <w:r w:rsidRPr="007D2BB7">
              <w:rPr>
                <w:rFonts w:cs="Arial"/>
                <w:b/>
                <w:bCs/>
                <w:sz w:val="20"/>
              </w:rPr>
              <w:t>Project Objectives and scope</w:t>
            </w:r>
          </w:p>
        </w:tc>
        <w:tc>
          <w:tcPr>
            <w:tcW w:w="1710" w:type="dxa"/>
            <w:shd w:val="clear" w:color="auto" w:fill="EEECE1" w:themeFill="background2"/>
          </w:tcPr>
          <w:p w14:paraId="1A127A6A" w14:textId="7C60F92C" w:rsidR="004436D3" w:rsidRPr="007D2BB7" w:rsidRDefault="004436D3" w:rsidP="00246B89">
            <w:pPr>
              <w:spacing w:after="160"/>
              <w:jc w:val="both"/>
              <w:rPr>
                <w:rFonts w:eastAsia="Calibri" w:cs="Arial"/>
                <w:b/>
                <w:bCs/>
                <w:sz w:val="20"/>
              </w:rPr>
            </w:pPr>
            <w:r w:rsidRPr="007D2BB7">
              <w:rPr>
                <w:rFonts w:eastAsia="Calibri" w:cs="Arial"/>
                <w:b/>
                <w:bCs/>
                <w:sz w:val="20"/>
              </w:rPr>
              <w:t>11</w:t>
            </w:r>
          </w:p>
        </w:tc>
        <w:tc>
          <w:tcPr>
            <w:tcW w:w="3420" w:type="dxa"/>
            <w:shd w:val="clear" w:color="auto" w:fill="EEECE1" w:themeFill="background2"/>
          </w:tcPr>
          <w:p w14:paraId="51EEE150" w14:textId="61F8E4DD" w:rsidR="004436D3" w:rsidRPr="007D2BB7" w:rsidRDefault="004436D3" w:rsidP="00246B89">
            <w:pPr>
              <w:rPr>
                <w:rFonts w:cs="Arial"/>
                <w:b/>
                <w:bCs/>
                <w:sz w:val="20"/>
              </w:rPr>
            </w:pPr>
            <w:r w:rsidRPr="007D2BB7">
              <w:rPr>
                <w:rFonts w:cs="Arial"/>
                <w:b/>
                <w:bCs/>
                <w:sz w:val="20"/>
              </w:rPr>
              <w:t xml:space="preserve">"A warranty that starts with the rollout of the first functional capability and concludes 12 months after the rollout of the final capability." Are all of ETF's system desired functionalities required at roll out? Or can functionality outside of standard scope be rolled out through the 12 month warranty period? If so, </w:t>
            </w:r>
            <w:r w:rsidRPr="007D2BB7">
              <w:rPr>
                <w:rFonts w:cs="Arial"/>
                <w:b/>
                <w:bCs/>
                <w:sz w:val="20"/>
              </w:rPr>
              <w:lastRenderedPageBreak/>
              <w:t>what functionality would be required at go-live?</w:t>
            </w:r>
          </w:p>
        </w:tc>
        <w:tc>
          <w:tcPr>
            <w:tcW w:w="5490" w:type="dxa"/>
            <w:shd w:val="clear" w:color="auto" w:fill="EEECE1" w:themeFill="background2"/>
          </w:tcPr>
          <w:p w14:paraId="5446ABBA" w14:textId="3E266726" w:rsidR="004436D3" w:rsidRPr="007D2BB7" w:rsidRDefault="004436D3" w:rsidP="00246B89">
            <w:pPr>
              <w:spacing w:after="160"/>
              <w:rPr>
                <w:rFonts w:cs="Arial"/>
                <w:b/>
                <w:bCs/>
                <w:sz w:val="20"/>
              </w:rPr>
            </w:pPr>
            <w:r w:rsidRPr="007D2BB7">
              <w:rPr>
                <w:rFonts w:cs="Arial"/>
                <w:b/>
                <w:bCs/>
                <w:sz w:val="20"/>
              </w:rPr>
              <w:lastRenderedPageBreak/>
              <w:t xml:space="preserve">ETF anticipates there will be only one (1) functional rollout, although we </w:t>
            </w:r>
            <w:r w:rsidR="001147BB">
              <w:rPr>
                <w:rFonts w:cs="Arial"/>
                <w:b/>
                <w:bCs/>
                <w:sz w:val="20"/>
              </w:rPr>
              <w:t xml:space="preserve">are </w:t>
            </w:r>
            <w:r w:rsidRPr="007D2BB7">
              <w:rPr>
                <w:rFonts w:cs="Arial"/>
                <w:b/>
                <w:bCs/>
                <w:sz w:val="20"/>
              </w:rPr>
              <w:t>open to other alternatives recommended by the Proposer.  All in-scope functionality is expected to be ready for the go-live date. There may be certain situations where non-critical functionality is pushed out for delivery during the warranty period; however</w:t>
            </w:r>
            <w:r>
              <w:rPr>
                <w:rFonts w:cs="Arial"/>
                <w:b/>
                <w:bCs/>
                <w:sz w:val="20"/>
              </w:rPr>
              <w:t>,</w:t>
            </w:r>
            <w:r w:rsidRPr="007D2BB7">
              <w:rPr>
                <w:rFonts w:cs="Arial"/>
                <w:b/>
                <w:bCs/>
                <w:sz w:val="20"/>
              </w:rPr>
              <w:t xml:space="preserve"> this is not ETF’s preferred model.</w:t>
            </w:r>
          </w:p>
        </w:tc>
      </w:tr>
      <w:tr w:rsidR="004436D3" w:rsidRPr="00DB4732" w14:paraId="49ED42F1" w14:textId="77777777" w:rsidTr="00AC3150">
        <w:tc>
          <w:tcPr>
            <w:tcW w:w="720" w:type="dxa"/>
            <w:shd w:val="clear" w:color="auto" w:fill="DBE5F1" w:themeFill="accent1" w:themeFillTint="33"/>
          </w:tcPr>
          <w:p w14:paraId="21974DE8" w14:textId="6187B4A3" w:rsidR="004436D3" w:rsidRPr="00DB4732" w:rsidRDefault="004436D3" w:rsidP="00246B89">
            <w:pPr>
              <w:spacing w:after="160"/>
              <w:jc w:val="both"/>
              <w:rPr>
                <w:rFonts w:eastAsia="Calibri" w:cs="Arial"/>
                <w:b/>
                <w:bCs/>
                <w:sz w:val="20"/>
              </w:rPr>
            </w:pPr>
            <w:r w:rsidRPr="00DB4732">
              <w:rPr>
                <w:rFonts w:eastAsia="Calibri" w:cs="Arial"/>
                <w:b/>
                <w:bCs/>
                <w:sz w:val="20"/>
              </w:rPr>
              <w:t>Q87</w:t>
            </w:r>
          </w:p>
        </w:tc>
        <w:tc>
          <w:tcPr>
            <w:tcW w:w="1710" w:type="dxa"/>
            <w:shd w:val="clear" w:color="auto" w:fill="DBE5F1" w:themeFill="accent1" w:themeFillTint="33"/>
          </w:tcPr>
          <w:p w14:paraId="44947A46" w14:textId="1E9540D7" w:rsidR="004436D3" w:rsidRPr="00DB4732" w:rsidRDefault="004436D3" w:rsidP="00246B89">
            <w:pPr>
              <w:spacing w:before="120" w:after="120"/>
              <w:rPr>
                <w:rFonts w:cs="Arial"/>
                <w:b/>
                <w:bCs/>
                <w:sz w:val="20"/>
              </w:rPr>
            </w:pPr>
            <w:r w:rsidRPr="00DB4732">
              <w:rPr>
                <w:rFonts w:cs="Arial"/>
                <w:b/>
                <w:bCs/>
                <w:sz w:val="20"/>
              </w:rPr>
              <w:t>Project Objectives and scope</w:t>
            </w:r>
          </w:p>
        </w:tc>
        <w:tc>
          <w:tcPr>
            <w:tcW w:w="1710" w:type="dxa"/>
            <w:shd w:val="clear" w:color="auto" w:fill="DBE5F1" w:themeFill="accent1" w:themeFillTint="33"/>
          </w:tcPr>
          <w:p w14:paraId="0F23A3BA" w14:textId="19F0B75A" w:rsidR="004436D3" w:rsidRPr="00DB4732" w:rsidRDefault="004436D3" w:rsidP="00246B89">
            <w:pPr>
              <w:spacing w:after="160"/>
              <w:jc w:val="both"/>
              <w:rPr>
                <w:rFonts w:eastAsia="Calibri" w:cs="Arial"/>
                <w:b/>
                <w:bCs/>
                <w:sz w:val="20"/>
              </w:rPr>
            </w:pPr>
            <w:r w:rsidRPr="00DB4732">
              <w:rPr>
                <w:rFonts w:eastAsia="Calibri" w:cs="Arial"/>
                <w:b/>
                <w:bCs/>
                <w:sz w:val="20"/>
              </w:rPr>
              <w:t>11</w:t>
            </w:r>
          </w:p>
        </w:tc>
        <w:tc>
          <w:tcPr>
            <w:tcW w:w="3420" w:type="dxa"/>
            <w:shd w:val="clear" w:color="auto" w:fill="DBE5F1" w:themeFill="accent1" w:themeFillTint="33"/>
          </w:tcPr>
          <w:p w14:paraId="654CD74E" w14:textId="69F7FD3D" w:rsidR="004436D3" w:rsidRPr="00DB4732" w:rsidRDefault="004436D3" w:rsidP="00246B89">
            <w:pPr>
              <w:rPr>
                <w:rFonts w:cs="Arial"/>
                <w:b/>
                <w:bCs/>
                <w:sz w:val="20"/>
              </w:rPr>
            </w:pPr>
            <w:r w:rsidRPr="00DB4732">
              <w:rPr>
                <w:rFonts w:cs="Arial"/>
                <w:b/>
                <w:bCs/>
                <w:sz w:val="20"/>
              </w:rPr>
              <w:t>At what point in the process is the customized documentation/collateral required? For example: at initial rollout, or is this a continuous requirement as features are rolled out and therefore should be factored into pricing?</w:t>
            </w:r>
          </w:p>
        </w:tc>
        <w:tc>
          <w:tcPr>
            <w:tcW w:w="5490" w:type="dxa"/>
            <w:shd w:val="clear" w:color="auto" w:fill="DBE5F1" w:themeFill="accent1" w:themeFillTint="33"/>
          </w:tcPr>
          <w:p w14:paraId="15944233" w14:textId="77777777" w:rsidR="004436D3" w:rsidRPr="00DB4732" w:rsidRDefault="004436D3" w:rsidP="00246B89">
            <w:pPr>
              <w:spacing w:after="160"/>
              <w:rPr>
                <w:rFonts w:cs="Arial"/>
                <w:b/>
                <w:bCs/>
                <w:sz w:val="20"/>
              </w:rPr>
            </w:pPr>
            <w:r w:rsidRPr="00DB4732">
              <w:rPr>
                <w:rFonts w:cs="Arial"/>
                <w:b/>
                <w:bCs/>
                <w:sz w:val="20"/>
              </w:rPr>
              <w:t xml:space="preserve">ETF expects these materials to be ready in draft form for use during training and delivered as final documents at cutover. </w:t>
            </w:r>
          </w:p>
          <w:p w14:paraId="4FECC924" w14:textId="27393627" w:rsidR="004436D3" w:rsidRPr="00DB4732" w:rsidRDefault="004436D3" w:rsidP="00246B89">
            <w:pPr>
              <w:spacing w:after="160"/>
              <w:rPr>
                <w:rFonts w:cs="Arial"/>
                <w:b/>
                <w:bCs/>
                <w:sz w:val="20"/>
              </w:rPr>
            </w:pPr>
            <w:r w:rsidRPr="00DB4732">
              <w:rPr>
                <w:rFonts w:cs="Arial"/>
                <w:b/>
                <w:bCs/>
                <w:sz w:val="20"/>
              </w:rPr>
              <w:t>If the vendor is proposing a phased approach with multiple rollouts, then documentation for the functionality in that rollout is expected to be ready for the corresponding training and cutover periods. If the vendor is proposing a single rollout, then all documentation is expected to be ready for the training and cutover periods.</w:t>
            </w:r>
          </w:p>
        </w:tc>
      </w:tr>
      <w:tr w:rsidR="004436D3" w:rsidRPr="00FD3EE3" w14:paraId="0784A984" w14:textId="77777777" w:rsidTr="00AC3150">
        <w:tc>
          <w:tcPr>
            <w:tcW w:w="720" w:type="dxa"/>
            <w:shd w:val="clear" w:color="auto" w:fill="EEECE1" w:themeFill="background2"/>
          </w:tcPr>
          <w:p w14:paraId="1D9C3A6E" w14:textId="71154A51" w:rsidR="004436D3" w:rsidRPr="00FD3EE3" w:rsidRDefault="004436D3" w:rsidP="00246B89">
            <w:pPr>
              <w:spacing w:after="160"/>
              <w:jc w:val="both"/>
              <w:rPr>
                <w:rFonts w:eastAsia="Calibri" w:cs="Arial"/>
                <w:b/>
                <w:bCs/>
                <w:sz w:val="20"/>
              </w:rPr>
            </w:pPr>
            <w:r w:rsidRPr="00FD3EE3">
              <w:rPr>
                <w:rFonts w:eastAsia="Calibri" w:cs="Arial"/>
                <w:b/>
                <w:bCs/>
                <w:sz w:val="20"/>
              </w:rPr>
              <w:t>Q88</w:t>
            </w:r>
          </w:p>
        </w:tc>
        <w:tc>
          <w:tcPr>
            <w:tcW w:w="1710" w:type="dxa"/>
            <w:shd w:val="clear" w:color="auto" w:fill="EEECE1" w:themeFill="background2"/>
          </w:tcPr>
          <w:p w14:paraId="0D7A5243" w14:textId="31735476" w:rsidR="004436D3" w:rsidRPr="00FD3EE3" w:rsidRDefault="004436D3" w:rsidP="00246B89">
            <w:pPr>
              <w:spacing w:before="120" w:after="120"/>
              <w:rPr>
                <w:rFonts w:cs="Arial"/>
                <w:b/>
                <w:bCs/>
                <w:sz w:val="20"/>
              </w:rPr>
            </w:pPr>
            <w:r w:rsidRPr="00FD3EE3">
              <w:rPr>
                <w:rFonts w:cs="Arial"/>
                <w:b/>
                <w:bCs/>
                <w:sz w:val="20"/>
              </w:rPr>
              <w:t>Project Objectives and scope</w:t>
            </w:r>
          </w:p>
        </w:tc>
        <w:tc>
          <w:tcPr>
            <w:tcW w:w="1710" w:type="dxa"/>
            <w:shd w:val="clear" w:color="auto" w:fill="EEECE1" w:themeFill="background2"/>
          </w:tcPr>
          <w:p w14:paraId="28B28A54" w14:textId="1E2659C9" w:rsidR="004436D3" w:rsidRPr="00FD3EE3" w:rsidRDefault="004436D3" w:rsidP="00246B89">
            <w:pPr>
              <w:spacing w:after="160"/>
              <w:jc w:val="both"/>
              <w:rPr>
                <w:rFonts w:eastAsia="Calibri" w:cs="Arial"/>
                <w:b/>
                <w:bCs/>
                <w:sz w:val="20"/>
              </w:rPr>
            </w:pPr>
            <w:r w:rsidRPr="00FD3EE3">
              <w:rPr>
                <w:rFonts w:eastAsia="Calibri" w:cs="Arial"/>
                <w:b/>
                <w:bCs/>
                <w:sz w:val="20"/>
              </w:rPr>
              <w:t>11</w:t>
            </w:r>
          </w:p>
        </w:tc>
        <w:tc>
          <w:tcPr>
            <w:tcW w:w="3420" w:type="dxa"/>
            <w:shd w:val="clear" w:color="auto" w:fill="EEECE1" w:themeFill="background2"/>
          </w:tcPr>
          <w:p w14:paraId="64717A43" w14:textId="33D0DDC5" w:rsidR="004436D3" w:rsidRPr="00FD3EE3" w:rsidRDefault="004436D3" w:rsidP="00246B89">
            <w:pPr>
              <w:rPr>
                <w:rFonts w:cs="Arial"/>
                <w:b/>
                <w:bCs/>
                <w:sz w:val="20"/>
              </w:rPr>
            </w:pPr>
            <w:r w:rsidRPr="00FD3EE3">
              <w:rPr>
                <w:rFonts w:cs="Arial"/>
                <w:b/>
                <w:bCs/>
                <w:sz w:val="20"/>
              </w:rPr>
              <w:t>What is the expectation/role of the developers? Does the Department anticipate developers will develop features onto the vendors product suite, or will their role be geared towards data analysis?</w:t>
            </w:r>
          </w:p>
        </w:tc>
        <w:tc>
          <w:tcPr>
            <w:tcW w:w="5490" w:type="dxa"/>
            <w:shd w:val="clear" w:color="auto" w:fill="EEECE1" w:themeFill="background2"/>
          </w:tcPr>
          <w:p w14:paraId="706C584E" w14:textId="5C8EE5DE" w:rsidR="004436D3" w:rsidRPr="00FD3EE3" w:rsidRDefault="004436D3" w:rsidP="00246B89">
            <w:pPr>
              <w:spacing w:after="160"/>
              <w:rPr>
                <w:rFonts w:cs="Arial"/>
                <w:b/>
                <w:bCs/>
                <w:sz w:val="20"/>
              </w:rPr>
            </w:pPr>
            <w:r w:rsidRPr="00362D0C">
              <w:rPr>
                <w:rFonts w:cs="Arial"/>
                <w:b/>
                <w:bCs/>
                <w:sz w:val="20"/>
              </w:rPr>
              <w:t>Developer roles will depend on the proposed solution, vendor capabilities, business requirements, and the functionality the solution provides for customization, configuration, integration, and data analysis.</w:t>
            </w:r>
          </w:p>
        </w:tc>
      </w:tr>
      <w:tr w:rsidR="004436D3" w:rsidRPr="007D4853" w14:paraId="271F50DD" w14:textId="77777777" w:rsidTr="00AC3150">
        <w:tc>
          <w:tcPr>
            <w:tcW w:w="720" w:type="dxa"/>
            <w:shd w:val="clear" w:color="auto" w:fill="DBE5F1" w:themeFill="accent1" w:themeFillTint="33"/>
          </w:tcPr>
          <w:p w14:paraId="46BEDBCA" w14:textId="4B8C330A" w:rsidR="004436D3" w:rsidRPr="007D4853" w:rsidRDefault="004436D3" w:rsidP="00246B89">
            <w:pPr>
              <w:spacing w:after="160"/>
              <w:jc w:val="both"/>
              <w:rPr>
                <w:rFonts w:eastAsia="Calibri" w:cs="Arial"/>
                <w:b/>
                <w:bCs/>
                <w:sz w:val="20"/>
              </w:rPr>
            </w:pPr>
            <w:r w:rsidRPr="007D4853">
              <w:rPr>
                <w:rFonts w:eastAsia="Calibri" w:cs="Arial"/>
                <w:b/>
                <w:bCs/>
                <w:sz w:val="20"/>
              </w:rPr>
              <w:t>Q89</w:t>
            </w:r>
          </w:p>
        </w:tc>
        <w:tc>
          <w:tcPr>
            <w:tcW w:w="1710" w:type="dxa"/>
            <w:shd w:val="clear" w:color="auto" w:fill="DBE5F1" w:themeFill="accent1" w:themeFillTint="33"/>
          </w:tcPr>
          <w:p w14:paraId="2302A023" w14:textId="41485830" w:rsidR="004436D3" w:rsidRPr="007D4853" w:rsidRDefault="004436D3" w:rsidP="00246B89">
            <w:pPr>
              <w:spacing w:before="120" w:after="120"/>
              <w:rPr>
                <w:rFonts w:cs="Arial"/>
                <w:b/>
                <w:bCs/>
                <w:sz w:val="20"/>
              </w:rPr>
            </w:pPr>
            <w:r w:rsidRPr="007D4853">
              <w:rPr>
                <w:rFonts w:cs="Arial"/>
                <w:b/>
                <w:bCs/>
                <w:sz w:val="20"/>
              </w:rPr>
              <w:t>Project Objectives and scope</w:t>
            </w:r>
          </w:p>
        </w:tc>
        <w:tc>
          <w:tcPr>
            <w:tcW w:w="1710" w:type="dxa"/>
            <w:shd w:val="clear" w:color="auto" w:fill="DBE5F1" w:themeFill="accent1" w:themeFillTint="33"/>
          </w:tcPr>
          <w:p w14:paraId="36C62AB1" w14:textId="7B0C0561" w:rsidR="004436D3" w:rsidRPr="007D4853" w:rsidRDefault="004436D3" w:rsidP="00246B89">
            <w:pPr>
              <w:spacing w:after="160"/>
              <w:jc w:val="both"/>
              <w:rPr>
                <w:rFonts w:eastAsia="Calibri" w:cs="Arial"/>
                <w:b/>
                <w:bCs/>
                <w:sz w:val="20"/>
              </w:rPr>
            </w:pPr>
            <w:r w:rsidRPr="007D4853">
              <w:rPr>
                <w:rFonts w:eastAsia="Calibri" w:cs="Arial"/>
                <w:b/>
                <w:bCs/>
                <w:sz w:val="20"/>
              </w:rPr>
              <w:t>11</w:t>
            </w:r>
          </w:p>
        </w:tc>
        <w:tc>
          <w:tcPr>
            <w:tcW w:w="3420" w:type="dxa"/>
            <w:shd w:val="clear" w:color="auto" w:fill="DBE5F1" w:themeFill="accent1" w:themeFillTint="33"/>
          </w:tcPr>
          <w:p w14:paraId="6B60A92E" w14:textId="1175AC21" w:rsidR="004436D3" w:rsidRPr="007D4853" w:rsidRDefault="004436D3" w:rsidP="00246B89">
            <w:pPr>
              <w:rPr>
                <w:rFonts w:cs="Arial"/>
                <w:b/>
                <w:bCs/>
                <w:sz w:val="20"/>
              </w:rPr>
            </w:pPr>
            <w:r w:rsidRPr="007D4853">
              <w:rPr>
                <w:rFonts w:cs="Arial"/>
                <w:b/>
                <w:bCs/>
                <w:sz w:val="20"/>
              </w:rPr>
              <w:t>Will training be a requirement at initial rollout, or shall it be factored into pricing considerations as ongoing? Is the expectation that employers will be trained at install by the Contractor, or is the expectation that an X amount of webinars will be held per year?</w:t>
            </w:r>
          </w:p>
        </w:tc>
        <w:tc>
          <w:tcPr>
            <w:tcW w:w="5490" w:type="dxa"/>
            <w:shd w:val="clear" w:color="auto" w:fill="DBE5F1" w:themeFill="accent1" w:themeFillTint="33"/>
          </w:tcPr>
          <w:p w14:paraId="44F2364C" w14:textId="1435287D" w:rsidR="004436D3" w:rsidRPr="007D4853" w:rsidRDefault="004436D3" w:rsidP="00246B89">
            <w:pPr>
              <w:spacing w:after="160"/>
              <w:rPr>
                <w:rFonts w:cs="Arial"/>
                <w:b/>
                <w:bCs/>
                <w:sz w:val="20"/>
              </w:rPr>
            </w:pPr>
            <w:r w:rsidRPr="007D4853">
              <w:rPr>
                <w:rFonts w:cs="Arial"/>
                <w:b/>
                <w:bCs/>
                <w:sz w:val="20"/>
              </w:rPr>
              <w:t>ETF expects training will be conducted for each functional rollout. If the vendor is proposing a phased approach with multiple rollouts, then training for the functionality in that rollout is expected prior to each implementation. If the vendor is proposing a single rollout, then all training is expected prior to the initial go-live date.</w:t>
            </w:r>
          </w:p>
          <w:p w14:paraId="76474497" w14:textId="58B2DCF8" w:rsidR="004436D3" w:rsidRPr="007D4853" w:rsidRDefault="004436D3" w:rsidP="00246B89">
            <w:pPr>
              <w:spacing w:after="160"/>
              <w:rPr>
                <w:rFonts w:cs="Arial"/>
                <w:b/>
                <w:bCs/>
                <w:sz w:val="20"/>
              </w:rPr>
            </w:pPr>
            <w:r w:rsidRPr="007D4853">
              <w:rPr>
                <w:rFonts w:cs="Arial"/>
                <w:b/>
                <w:bCs/>
                <w:sz w:val="20"/>
              </w:rPr>
              <w:t>ETF is open to considering the vendor’s proposed training methodology based on successful training approaches used in past engagements for training employers. We do not have a hard requirement regarding how this can or will be accomplished. Rather, we are looking for guidance and best practices from Proposers who have successfully completed this task elsewhere.</w:t>
            </w:r>
          </w:p>
        </w:tc>
      </w:tr>
      <w:tr w:rsidR="004436D3" w:rsidRPr="00DB4732" w14:paraId="0AEA87D3" w14:textId="77777777" w:rsidTr="00AC3150">
        <w:tc>
          <w:tcPr>
            <w:tcW w:w="720" w:type="dxa"/>
            <w:shd w:val="clear" w:color="auto" w:fill="EEECE1" w:themeFill="background2"/>
          </w:tcPr>
          <w:p w14:paraId="182AC643" w14:textId="1786B1B2" w:rsidR="004436D3" w:rsidRPr="00DB4732" w:rsidRDefault="004436D3" w:rsidP="00246B89">
            <w:pPr>
              <w:spacing w:after="160"/>
              <w:jc w:val="both"/>
              <w:rPr>
                <w:rFonts w:eastAsia="Calibri" w:cs="Arial"/>
                <w:b/>
                <w:bCs/>
                <w:sz w:val="20"/>
              </w:rPr>
            </w:pPr>
            <w:r w:rsidRPr="00DB4732">
              <w:rPr>
                <w:rFonts w:eastAsia="Calibri" w:cs="Arial"/>
                <w:b/>
                <w:bCs/>
                <w:sz w:val="20"/>
              </w:rPr>
              <w:lastRenderedPageBreak/>
              <w:t>Q90</w:t>
            </w:r>
          </w:p>
        </w:tc>
        <w:tc>
          <w:tcPr>
            <w:tcW w:w="1710" w:type="dxa"/>
            <w:shd w:val="clear" w:color="auto" w:fill="EEECE1" w:themeFill="background2"/>
          </w:tcPr>
          <w:p w14:paraId="3C04BD59" w14:textId="3EADD869" w:rsidR="004436D3" w:rsidRPr="00DB4732" w:rsidRDefault="004436D3" w:rsidP="00246B89">
            <w:pPr>
              <w:spacing w:before="120" w:after="120"/>
              <w:rPr>
                <w:rFonts w:cs="Arial"/>
                <w:b/>
                <w:bCs/>
                <w:sz w:val="20"/>
              </w:rPr>
            </w:pPr>
            <w:r w:rsidRPr="00DB4732">
              <w:rPr>
                <w:rFonts w:cs="Arial"/>
                <w:b/>
                <w:bCs/>
                <w:sz w:val="20"/>
              </w:rPr>
              <w:t>Project Objectives and scope</w:t>
            </w:r>
          </w:p>
        </w:tc>
        <w:tc>
          <w:tcPr>
            <w:tcW w:w="1710" w:type="dxa"/>
            <w:shd w:val="clear" w:color="auto" w:fill="EEECE1" w:themeFill="background2"/>
          </w:tcPr>
          <w:p w14:paraId="1CE0E456" w14:textId="67D4C34C" w:rsidR="004436D3" w:rsidRPr="00DB4732" w:rsidRDefault="004436D3" w:rsidP="00246B89">
            <w:pPr>
              <w:spacing w:after="160"/>
              <w:jc w:val="both"/>
              <w:rPr>
                <w:rFonts w:eastAsia="Calibri" w:cs="Arial"/>
                <w:b/>
                <w:bCs/>
                <w:sz w:val="20"/>
              </w:rPr>
            </w:pPr>
            <w:r w:rsidRPr="00DB4732">
              <w:rPr>
                <w:rFonts w:eastAsia="Calibri" w:cs="Arial"/>
                <w:b/>
                <w:bCs/>
                <w:sz w:val="20"/>
              </w:rPr>
              <w:t>11</w:t>
            </w:r>
          </w:p>
        </w:tc>
        <w:tc>
          <w:tcPr>
            <w:tcW w:w="3420" w:type="dxa"/>
            <w:shd w:val="clear" w:color="auto" w:fill="EEECE1" w:themeFill="background2"/>
          </w:tcPr>
          <w:p w14:paraId="7AA48B62" w14:textId="1357973C" w:rsidR="004436D3" w:rsidRPr="00DB4732" w:rsidRDefault="004436D3" w:rsidP="00246B89">
            <w:pPr>
              <w:rPr>
                <w:rFonts w:cs="Arial"/>
                <w:b/>
                <w:bCs/>
                <w:sz w:val="20"/>
              </w:rPr>
            </w:pPr>
            <w:r w:rsidRPr="00DB4732">
              <w:rPr>
                <w:rFonts w:cs="Arial"/>
                <w:b/>
                <w:bCs/>
                <w:sz w:val="20"/>
              </w:rPr>
              <w:t>Is the Department willing to consider a SaaS solution where maintenance, and enhancements are managed by the vendor? Is this a non-negotiable requirement?</w:t>
            </w:r>
          </w:p>
        </w:tc>
        <w:tc>
          <w:tcPr>
            <w:tcW w:w="5490" w:type="dxa"/>
            <w:shd w:val="clear" w:color="auto" w:fill="EEECE1" w:themeFill="background2"/>
          </w:tcPr>
          <w:p w14:paraId="15842E22" w14:textId="60E64191" w:rsidR="004436D3" w:rsidRPr="00DB4732" w:rsidRDefault="004436D3" w:rsidP="00246B89">
            <w:pPr>
              <w:spacing w:after="160"/>
              <w:rPr>
                <w:rFonts w:cs="Arial"/>
                <w:b/>
                <w:bCs/>
                <w:sz w:val="20"/>
              </w:rPr>
            </w:pPr>
            <w:r w:rsidRPr="00DB4732">
              <w:rPr>
                <w:rFonts w:cs="Arial"/>
                <w:b/>
                <w:bCs/>
                <w:sz w:val="20"/>
              </w:rPr>
              <w:t>Yes, ETF understands that maintenance, enhancements, etc. will need to be managed by the vendor for a SaaS solution.</w:t>
            </w:r>
          </w:p>
        </w:tc>
      </w:tr>
      <w:tr w:rsidR="004436D3" w:rsidRPr="007C4AB5" w14:paraId="249ED4CA" w14:textId="77777777" w:rsidTr="00AC3150">
        <w:tc>
          <w:tcPr>
            <w:tcW w:w="720" w:type="dxa"/>
            <w:shd w:val="clear" w:color="auto" w:fill="DBE5F1" w:themeFill="accent1" w:themeFillTint="33"/>
          </w:tcPr>
          <w:p w14:paraId="2B066B2A" w14:textId="65F965E7" w:rsidR="004436D3" w:rsidRPr="007C4AB5" w:rsidRDefault="004436D3" w:rsidP="00246B89">
            <w:pPr>
              <w:spacing w:after="160"/>
              <w:jc w:val="both"/>
              <w:rPr>
                <w:rFonts w:eastAsia="Calibri" w:cs="Arial"/>
                <w:b/>
                <w:bCs/>
                <w:sz w:val="20"/>
              </w:rPr>
            </w:pPr>
            <w:r w:rsidRPr="007C4AB5">
              <w:rPr>
                <w:rFonts w:eastAsia="Calibri" w:cs="Arial"/>
                <w:b/>
                <w:bCs/>
                <w:sz w:val="20"/>
              </w:rPr>
              <w:t>Q91</w:t>
            </w:r>
          </w:p>
        </w:tc>
        <w:tc>
          <w:tcPr>
            <w:tcW w:w="1710" w:type="dxa"/>
            <w:shd w:val="clear" w:color="auto" w:fill="DBE5F1" w:themeFill="accent1" w:themeFillTint="33"/>
          </w:tcPr>
          <w:p w14:paraId="3049E11B" w14:textId="75970FB6" w:rsidR="004436D3" w:rsidRPr="007C4AB5" w:rsidRDefault="004436D3" w:rsidP="00246B89">
            <w:pPr>
              <w:spacing w:before="120" w:after="120"/>
              <w:rPr>
                <w:rFonts w:cs="Arial"/>
                <w:b/>
                <w:bCs/>
                <w:sz w:val="20"/>
              </w:rPr>
            </w:pPr>
            <w:r w:rsidRPr="007C4AB5">
              <w:rPr>
                <w:rFonts w:cs="Arial"/>
                <w:b/>
                <w:bCs/>
                <w:sz w:val="20"/>
              </w:rPr>
              <w:t>Communication and management</w:t>
            </w:r>
          </w:p>
        </w:tc>
        <w:tc>
          <w:tcPr>
            <w:tcW w:w="1710" w:type="dxa"/>
            <w:shd w:val="clear" w:color="auto" w:fill="DBE5F1" w:themeFill="accent1" w:themeFillTint="33"/>
          </w:tcPr>
          <w:p w14:paraId="1D4DA127" w14:textId="3F42A324" w:rsidR="004436D3" w:rsidRPr="007C4AB5" w:rsidRDefault="004436D3" w:rsidP="00246B89">
            <w:pPr>
              <w:spacing w:after="160"/>
              <w:jc w:val="both"/>
              <w:rPr>
                <w:rFonts w:eastAsia="Calibri" w:cs="Arial"/>
                <w:b/>
                <w:bCs/>
                <w:sz w:val="20"/>
              </w:rPr>
            </w:pPr>
            <w:r w:rsidRPr="007C4AB5">
              <w:rPr>
                <w:rFonts w:eastAsia="Calibri" w:cs="Arial"/>
                <w:b/>
                <w:bCs/>
                <w:sz w:val="20"/>
              </w:rPr>
              <w:t>2</w:t>
            </w:r>
          </w:p>
        </w:tc>
        <w:tc>
          <w:tcPr>
            <w:tcW w:w="3420" w:type="dxa"/>
            <w:shd w:val="clear" w:color="auto" w:fill="DBE5F1" w:themeFill="accent1" w:themeFillTint="33"/>
          </w:tcPr>
          <w:p w14:paraId="462C0E90" w14:textId="388CA779" w:rsidR="004436D3" w:rsidRPr="007C4AB5" w:rsidRDefault="004436D3" w:rsidP="00246B89">
            <w:pPr>
              <w:rPr>
                <w:rFonts w:cs="Arial"/>
                <w:b/>
                <w:bCs/>
                <w:sz w:val="20"/>
              </w:rPr>
            </w:pPr>
            <w:r w:rsidRPr="007C4AB5">
              <w:rPr>
                <w:rFonts w:cs="Arial"/>
                <w:b/>
                <w:bCs/>
                <w:sz w:val="20"/>
              </w:rPr>
              <w:t>Please provide more details to which languages are required.</w:t>
            </w:r>
          </w:p>
        </w:tc>
        <w:tc>
          <w:tcPr>
            <w:tcW w:w="5490" w:type="dxa"/>
            <w:shd w:val="clear" w:color="auto" w:fill="DBE5F1" w:themeFill="accent1" w:themeFillTint="33"/>
          </w:tcPr>
          <w:p w14:paraId="23378966" w14:textId="48CB1884" w:rsidR="004436D3" w:rsidRPr="00A75AA2" w:rsidRDefault="004436D3" w:rsidP="00A75AA2">
            <w:pPr>
              <w:spacing w:before="120" w:after="120"/>
              <w:rPr>
                <w:rFonts w:cs="Arial"/>
                <w:b/>
                <w:bCs/>
                <w:sz w:val="20"/>
              </w:rPr>
            </w:pPr>
            <w:r>
              <w:rPr>
                <w:rFonts w:cs="Arial"/>
                <w:b/>
                <w:bCs/>
                <w:sz w:val="20"/>
              </w:rPr>
              <w:t>See response to question Q1 above.</w:t>
            </w:r>
          </w:p>
        </w:tc>
      </w:tr>
      <w:tr w:rsidR="004436D3" w:rsidRPr="00FD3EE3" w14:paraId="74E707EC" w14:textId="77777777" w:rsidTr="00AC3150">
        <w:tc>
          <w:tcPr>
            <w:tcW w:w="720" w:type="dxa"/>
            <w:shd w:val="clear" w:color="auto" w:fill="EEECE1" w:themeFill="background2"/>
          </w:tcPr>
          <w:p w14:paraId="306A178E" w14:textId="387858BC" w:rsidR="004436D3" w:rsidRPr="00FD3EE3" w:rsidRDefault="004436D3" w:rsidP="00246B89">
            <w:pPr>
              <w:spacing w:after="160"/>
              <w:jc w:val="both"/>
              <w:rPr>
                <w:rFonts w:eastAsia="Calibri" w:cs="Arial"/>
                <w:b/>
                <w:bCs/>
                <w:sz w:val="20"/>
              </w:rPr>
            </w:pPr>
            <w:r w:rsidRPr="00FD3EE3">
              <w:rPr>
                <w:rFonts w:eastAsia="Calibri" w:cs="Arial"/>
                <w:b/>
                <w:bCs/>
                <w:sz w:val="20"/>
              </w:rPr>
              <w:t>Q92</w:t>
            </w:r>
          </w:p>
        </w:tc>
        <w:tc>
          <w:tcPr>
            <w:tcW w:w="1710" w:type="dxa"/>
            <w:shd w:val="clear" w:color="auto" w:fill="EEECE1" w:themeFill="background2"/>
          </w:tcPr>
          <w:p w14:paraId="711679A6" w14:textId="684B4F39" w:rsidR="004436D3" w:rsidRPr="00FD3EE3" w:rsidRDefault="004436D3" w:rsidP="00246B89">
            <w:pPr>
              <w:spacing w:before="120" w:after="120"/>
              <w:rPr>
                <w:rFonts w:cs="Arial"/>
                <w:b/>
                <w:bCs/>
                <w:sz w:val="20"/>
              </w:rPr>
            </w:pPr>
            <w:r w:rsidRPr="00FD3EE3">
              <w:rPr>
                <w:rFonts w:cs="Arial"/>
                <w:b/>
                <w:bCs/>
                <w:sz w:val="20"/>
              </w:rPr>
              <w:t>RFP</w:t>
            </w:r>
          </w:p>
        </w:tc>
        <w:tc>
          <w:tcPr>
            <w:tcW w:w="1710" w:type="dxa"/>
            <w:shd w:val="clear" w:color="auto" w:fill="EEECE1" w:themeFill="background2"/>
          </w:tcPr>
          <w:p w14:paraId="0645D80F" w14:textId="2502673C" w:rsidR="004436D3" w:rsidRPr="00FD3EE3" w:rsidRDefault="004436D3" w:rsidP="00246B89">
            <w:pPr>
              <w:spacing w:after="160"/>
              <w:jc w:val="both"/>
              <w:rPr>
                <w:rFonts w:eastAsia="Calibri" w:cs="Arial"/>
                <w:b/>
                <w:bCs/>
                <w:sz w:val="20"/>
              </w:rPr>
            </w:pPr>
            <w:r w:rsidRPr="00FD3EE3">
              <w:rPr>
                <w:rFonts w:eastAsia="Calibri" w:cs="Arial"/>
                <w:b/>
                <w:bCs/>
                <w:sz w:val="20"/>
              </w:rPr>
              <w:t>Systems and Enterprise Technology</w:t>
            </w:r>
          </w:p>
        </w:tc>
        <w:tc>
          <w:tcPr>
            <w:tcW w:w="3420" w:type="dxa"/>
            <w:shd w:val="clear" w:color="auto" w:fill="EEECE1" w:themeFill="background2"/>
          </w:tcPr>
          <w:p w14:paraId="407E6994" w14:textId="46E4A06D" w:rsidR="004436D3" w:rsidRPr="00FD3EE3" w:rsidRDefault="004436D3" w:rsidP="00246B89">
            <w:pPr>
              <w:rPr>
                <w:rFonts w:cs="Arial"/>
                <w:b/>
                <w:bCs/>
                <w:sz w:val="20"/>
              </w:rPr>
            </w:pPr>
            <w:r w:rsidRPr="00FD3EE3">
              <w:rPr>
                <w:rFonts w:cs="Arial"/>
                <w:b/>
                <w:bCs/>
                <w:sz w:val="20"/>
              </w:rPr>
              <w:t>Confirm the system of record for employment/payroll data along with any variance for actives vs. retirees.</w:t>
            </w:r>
          </w:p>
        </w:tc>
        <w:tc>
          <w:tcPr>
            <w:tcW w:w="5490" w:type="dxa"/>
            <w:shd w:val="clear" w:color="auto" w:fill="EEECE1" w:themeFill="background2"/>
          </w:tcPr>
          <w:p w14:paraId="4CA51A19" w14:textId="5DDBA701" w:rsidR="004436D3" w:rsidRPr="00FD3EE3" w:rsidRDefault="004436D3" w:rsidP="00246B89">
            <w:pPr>
              <w:spacing w:after="160"/>
              <w:rPr>
                <w:rFonts w:cs="Arial"/>
                <w:b/>
                <w:bCs/>
                <w:sz w:val="20"/>
              </w:rPr>
            </w:pPr>
            <w:r w:rsidRPr="00362D0C">
              <w:rPr>
                <w:rFonts w:cs="Arial"/>
                <w:b/>
                <w:bCs/>
                <w:sz w:val="20"/>
              </w:rPr>
              <w:t xml:space="preserve">Employment data is currently </w:t>
            </w:r>
            <w:r>
              <w:rPr>
                <w:rFonts w:cs="Arial"/>
                <w:b/>
                <w:bCs/>
                <w:sz w:val="20"/>
              </w:rPr>
              <w:t xml:space="preserve">maintained in </w:t>
            </w:r>
            <w:r w:rsidRPr="00362D0C">
              <w:rPr>
                <w:rFonts w:cs="Arial"/>
                <w:b/>
                <w:bCs/>
                <w:sz w:val="20"/>
              </w:rPr>
              <w:t>ETF systems. Payroll</w:t>
            </w:r>
            <w:r>
              <w:rPr>
                <w:rFonts w:cs="Arial"/>
                <w:b/>
                <w:bCs/>
                <w:sz w:val="20"/>
              </w:rPr>
              <w:t xml:space="preserve"> data</w:t>
            </w:r>
            <w:r w:rsidRPr="00362D0C">
              <w:rPr>
                <w:rFonts w:cs="Arial"/>
                <w:b/>
                <w:bCs/>
                <w:sz w:val="20"/>
              </w:rPr>
              <w:t xml:space="preserve"> for employees is managed </w:t>
            </w:r>
            <w:r>
              <w:rPr>
                <w:rFonts w:cs="Arial"/>
                <w:b/>
                <w:bCs/>
                <w:sz w:val="20"/>
              </w:rPr>
              <w:t xml:space="preserve">and maintained </w:t>
            </w:r>
            <w:r w:rsidRPr="00362D0C">
              <w:rPr>
                <w:rFonts w:cs="Arial"/>
                <w:b/>
                <w:bCs/>
                <w:sz w:val="20"/>
              </w:rPr>
              <w:t xml:space="preserve">by individual </w:t>
            </w:r>
            <w:r>
              <w:rPr>
                <w:rFonts w:cs="Arial"/>
                <w:b/>
                <w:bCs/>
                <w:sz w:val="20"/>
              </w:rPr>
              <w:t>employers</w:t>
            </w:r>
            <w:r w:rsidRPr="00362D0C">
              <w:rPr>
                <w:rFonts w:cs="Arial"/>
                <w:b/>
                <w:bCs/>
                <w:sz w:val="20"/>
              </w:rPr>
              <w:t xml:space="preserve">.  Payroll </w:t>
            </w:r>
            <w:r>
              <w:rPr>
                <w:rFonts w:cs="Arial"/>
                <w:b/>
                <w:bCs/>
                <w:sz w:val="20"/>
              </w:rPr>
              <w:t xml:space="preserve">data </w:t>
            </w:r>
            <w:r w:rsidRPr="00362D0C">
              <w:rPr>
                <w:rFonts w:cs="Arial"/>
                <w:b/>
                <w:bCs/>
                <w:sz w:val="20"/>
              </w:rPr>
              <w:t xml:space="preserve">for most annuitants is </w:t>
            </w:r>
            <w:r>
              <w:rPr>
                <w:rFonts w:cs="Arial"/>
                <w:b/>
                <w:bCs/>
                <w:sz w:val="20"/>
              </w:rPr>
              <w:t xml:space="preserve">maintained in </w:t>
            </w:r>
            <w:r w:rsidRPr="00362D0C">
              <w:rPr>
                <w:rFonts w:cs="Arial"/>
                <w:b/>
                <w:bCs/>
                <w:sz w:val="20"/>
              </w:rPr>
              <w:t xml:space="preserve">ETF systems, </w:t>
            </w:r>
            <w:r>
              <w:rPr>
                <w:rFonts w:cs="Arial"/>
                <w:b/>
                <w:bCs/>
                <w:sz w:val="20"/>
              </w:rPr>
              <w:t>excluding</w:t>
            </w:r>
            <w:r w:rsidRPr="00362D0C">
              <w:rPr>
                <w:rFonts w:cs="Arial"/>
                <w:b/>
                <w:bCs/>
                <w:sz w:val="20"/>
              </w:rPr>
              <w:t xml:space="preserve"> some local </w:t>
            </w:r>
            <w:r>
              <w:rPr>
                <w:rFonts w:cs="Arial"/>
                <w:b/>
                <w:bCs/>
                <w:sz w:val="20"/>
              </w:rPr>
              <w:t>employers</w:t>
            </w:r>
            <w:r w:rsidRPr="00362D0C">
              <w:rPr>
                <w:rFonts w:cs="Arial"/>
                <w:b/>
                <w:bCs/>
                <w:sz w:val="20"/>
              </w:rPr>
              <w:t xml:space="preserve"> who handle payroll </w:t>
            </w:r>
            <w:r>
              <w:rPr>
                <w:rFonts w:cs="Arial"/>
                <w:b/>
                <w:bCs/>
                <w:sz w:val="20"/>
              </w:rPr>
              <w:t xml:space="preserve">directly </w:t>
            </w:r>
            <w:r w:rsidRPr="00362D0C">
              <w:rPr>
                <w:rFonts w:cs="Arial"/>
                <w:b/>
                <w:bCs/>
                <w:sz w:val="20"/>
              </w:rPr>
              <w:t xml:space="preserve">for </w:t>
            </w:r>
            <w:r>
              <w:rPr>
                <w:rFonts w:cs="Arial"/>
                <w:b/>
                <w:bCs/>
                <w:sz w:val="20"/>
              </w:rPr>
              <w:t>their</w:t>
            </w:r>
            <w:r w:rsidRPr="00362D0C">
              <w:rPr>
                <w:rFonts w:cs="Arial"/>
                <w:b/>
                <w:bCs/>
                <w:sz w:val="20"/>
              </w:rPr>
              <w:t xml:space="preserve"> annuitants.</w:t>
            </w:r>
          </w:p>
        </w:tc>
      </w:tr>
      <w:tr w:rsidR="004436D3" w:rsidRPr="00CA3E1C" w14:paraId="681CDCAE" w14:textId="77777777" w:rsidTr="00AC3150">
        <w:tc>
          <w:tcPr>
            <w:tcW w:w="720" w:type="dxa"/>
            <w:shd w:val="clear" w:color="auto" w:fill="DBE5F1" w:themeFill="accent1" w:themeFillTint="33"/>
          </w:tcPr>
          <w:p w14:paraId="7F5F3147" w14:textId="2D4E8226" w:rsidR="004436D3" w:rsidRPr="00CA3E1C" w:rsidRDefault="004436D3" w:rsidP="00246B89">
            <w:pPr>
              <w:spacing w:after="160"/>
              <w:jc w:val="both"/>
              <w:rPr>
                <w:rFonts w:eastAsia="Calibri" w:cs="Arial"/>
                <w:b/>
                <w:bCs/>
                <w:sz w:val="20"/>
              </w:rPr>
            </w:pPr>
            <w:bookmarkStart w:id="38" w:name="_Hlk36016676"/>
            <w:r w:rsidRPr="00CA3E1C">
              <w:rPr>
                <w:rFonts w:eastAsia="Calibri" w:cs="Arial"/>
                <w:b/>
                <w:bCs/>
                <w:sz w:val="20"/>
              </w:rPr>
              <w:t>Q93</w:t>
            </w:r>
          </w:p>
        </w:tc>
        <w:tc>
          <w:tcPr>
            <w:tcW w:w="1710" w:type="dxa"/>
            <w:shd w:val="clear" w:color="auto" w:fill="DBE5F1" w:themeFill="accent1" w:themeFillTint="33"/>
          </w:tcPr>
          <w:p w14:paraId="01F27CD7" w14:textId="27D51D15" w:rsidR="004436D3" w:rsidRPr="00CA3E1C" w:rsidRDefault="004436D3" w:rsidP="00246B89">
            <w:pPr>
              <w:spacing w:before="120" w:after="120"/>
              <w:rPr>
                <w:rFonts w:cs="Arial"/>
                <w:b/>
                <w:bCs/>
                <w:sz w:val="20"/>
              </w:rPr>
            </w:pPr>
            <w:r w:rsidRPr="00CA3E1C">
              <w:rPr>
                <w:rFonts w:cs="Arial"/>
                <w:b/>
                <w:bCs/>
                <w:sz w:val="20"/>
              </w:rPr>
              <w:t>RFP</w:t>
            </w:r>
          </w:p>
        </w:tc>
        <w:tc>
          <w:tcPr>
            <w:tcW w:w="1710" w:type="dxa"/>
            <w:shd w:val="clear" w:color="auto" w:fill="DBE5F1" w:themeFill="accent1" w:themeFillTint="33"/>
          </w:tcPr>
          <w:p w14:paraId="4EABE3F3" w14:textId="1665EF2F" w:rsidR="004436D3" w:rsidRPr="00CA3E1C" w:rsidRDefault="004436D3" w:rsidP="00246B89">
            <w:pPr>
              <w:spacing w:after="160"/>
              <w:jc w:val="both"/>
              <w:rPr>
                <w:rFonts w:eastAsia="Calibri" w:cs="Arial"/>
                <w:b/>
                <w:bCs/>
                <w:sz w:val="20"/>
              </w:rPr>
            </w:pPr>
            <w:r w:rsidRPr="00CA3E1C">
              <w:rPr>
                <w:rFonts w:cs="Arial"/>
                <w:b/>
                <w:bCs/>
                <w:sz w:val="20"/>
              </w:rPr>
              <w:t>Health, Pharmacy and Dental Insurance Programs</w:t>
            </w:r>
          </w:p>
        </w:tc>
        <w:tc>
          <w:tcPr>
            <w:tcW w:w="3420" w:type="dxa"/>
            <w:shd w:val="clear" w:color="auto" w:fill="DBE5F1" w:themeFill="accent1" w:themeFillTint="33"/>
          </w:tcPr>
          <w:p w14:paraId="3354C2B0" w14:textId="477ACB9F" w:rsidR="004436D3" w:rsidRPr="00CA3E1C" w:rsidRDefault="004436D3" w:rsidP="00246B89">
            <w:pPr>
              <w:rPr>
                <w:rFonts w:cs="Arial"/>
                <w:b/>
                <w:bCs/>
                <w:sz w:val="20"/>
              </w:rPr>
            </w:pPr>
            <w:r w:rsidRPr="00CA3E1C">
              <w:rPr>
                <w:rFonts w:cs="Arial"/>
                <w:b/>
                <w:bCs/>
                <w:sz w:val="20"/>
              </w:rPr>
              <w:t>Please describe the enrollment process for the Medicare Advantage PPO (e.g. are carrier specific enrollment forms required, will the carrier accept an electronic enrollment mechanism, etc.).</w:t>
            </w:r>
          </w:p>
        </w:tc>
        <w:tc>
          <w:tcPr>
            <w:tcW w:w="5490" w:type="dxa"/>
            <w:shd w:val="clear" w:color="auto" w:fill="DBE5F1" w:themeFill="accent1" w:themeFillTint="33"/>
          </w:tcPr>
          <w:p w14:paraId="2FCEE30B" w14:textId="0E7A490A" w:rsidR="004436D3" w:rsidRDefault="004436D3" w:rsidP="00246B89">
            <w:pPr>
              <w:spacing w:after="160"/>
              <w:rPr>
                <w:b/>
                <w:bCs/>
                <w:color w:val="000000"/>
                <w:sz w:val="20"/>
              </w:rPr>
            </w:pPr>
            <w:r w:rsidRPr="00CA3E1C">
              <w:rPr>
                <w:b/>
                <w:bCs/>
                <w:color w:val="000000"/>
                <w:sz w:val="20"/>
              </w:rPr>
              <w:t>Today, a primarily manual enrollment process is used for the Medicare Advantage PPO plan. MEBS, our existing health insurance system, is not set up to allow retirees to electronically enter their Medicare Advantage PPO enrollment, so instead retirees submit paper applications to ETF for keying into MEBS. Enrollment details are then sent electronically to the health plan via the HIPAA 834 file.</w:t>
            </w:r>
          </w:p>
          <w:p w14:paraId="55BDA983" w14:textId="5A03DB50" w:rsidR="004436D3" w:rsidRPr="00CA3E1C" w:rsidRDefault="004436D3" w:rsidP="00CA3E1C">
            <w:pPr>
              <w:spacing w:after="160"/>
              <w:rPr>
                <w:b/>
                <w:bCs/>
                <w:color w:val="000000"/>
                <w:sz w:val="20"/>
              </w:rPr>
            </w:pPr>
            <w:r>
              <w:rPr>
                <w:b/>
                <w:bCs/>
                <w:color w:val="000000"/>
                <w:sz w:val="20"/>
              </w:rPr>
              <w:t>We would like to see these manual processes eliminated, if possible, so w</w:t>
            </w:r>
            <w:r w:rsidRPr="00CA3E1C">
              <w:rPr>
                <w:b/>
                <w:bCs/>
                <w:color w:val="000000"/>
                <w:sz w:val="20"/>
              </w:rPr>
              <w:t xml:space="preserve">e are interested in </w:t>
            </w:r>
            <w:r w:rsidRPr="00CA3E1C">
              <w:rPr>
                <w:rFonts w:cs="Arial"/>
                <w:b/>
                <w:bCs/>
                <w:sz w:val="20"/>
              </w:rPr>
              <w:t>any capabilities the Proposer’s system may offer to streamline, enhance, automate, and effectively manage these functions.</w:t>
            </w:r>
          </w:p>
        </w:tc>
      </w:tr>
      <w:tr w:rsidR="004436D3" w:rsidRPr="009B73AB" w14:paraId="474A9EE0" w14:textId="77777777" w:rsidTr="00AC3150">
        <w:tc>
          <w:tcPr>
            <w:tcW w:w="720" w:type="dxa"/>
            <w:shd w:val="clear" w:color="auto" w:fill="EEECE1" w:themeFill="background2"/>
          </w:tcPr>
          <w:p w14:paraId="4347CCF2" w14:textId="39CEB088" w:rsidR="004436D3" w:rsidRPr="009B73AB" w:rsidRDefault="004436D3" w:rsidP="00246B89">
            <w:pPr>
              <w:spacing w:after="160"/>
              <w:jc w:val="both"/>
              <w:rPr>
                <w:rFonts w:eastAsia="Calibri" w:cs="Arial"/>
                <w:b/>
                <w:bCs/>
                <w:sz w:val="20"/>
              </w:rPr>
            </w:pPr>
            <w:bookmarkStart w:id="39" w:name="_Hlk36016688"/>
            <w:bookmarkEnd w:id="38"/>
            <w:r w:rsidRPr="009B73AB">
              <w:rPr>
                <w:rFonts w:eastAsia="Calibri" w:cs="Arial"/>
                <w:b/>
                <w:bCs/>
                <w:sz w:val="20"/>
              </w:rPr>
              <w:t>Q94</w:t>
            </w:r>
          </w:p>
        </w:tc>
        <w:tc>
          <w:tcPr>
            <w:tcW w:w="1710" w:type="dxa"/>
            <w:shd w:val="clear" w:color="auto" w:fill="EEECE1" w:themeFill="background2"/>
          </w:tcPr>
          <w:p w14:paraId="348E44D8" w14:textId="3289D207" w:rsidR="004436D3" w:rsidRPr="009B73AB" w:rsidRDefault="004436D3" w:rsidP="00246B89">
            <w:pPr>
              <w:spacing w:before="120" w:after="120"/>
              <w:rPr>
                <w:rFonts w:cs="Arial"/>
                <w:b/>
                <w:bCs/>
                <w:sz w:val="20"/>
              </w:rPr>
            </w:pPr>
            <w:r w:rsidRPr="009B73AB">
              <w:rPr>
                <w:rFonts w:cs="Arial"/>
                <w:b/>
                <w:bCs/>
                <w:sz w:val="20"/>
              </w:rPr>
              <w:t>RFP</w:t>
            </w:r>
          </w:p>
        </w:tc>
        <w:tc>
          <w:tcPr>
            <w:tcW w:w="1710" w:type="dxa"/>
            <w:shd w:val="clear" w:color="auto" w:fill="EEECE1" w:themeFill="background2"/>
          </w:tcPr>
          <w:p w14:paraId="50F3DFA5" w14:textId="328A17F8" w:rsidR="004436D3" w:rsidRPr="009B73AB" w:rsidRDefault="004436D3" w:rsidP="00246B89">
            <w:pPr>
              <w:spacing w:after="160"/>
              <w:jc w:val="both"/>
              <w:rPr>
                <w:rFonts w:cs="Arial"/>
                <w:b/>
                <w:bCs/>
                <w:sz w:val="20"/>
              </w:rPr>
            </w:pPr>
            <w:r w:rsidRPr="009B73AB">
              <w:rPr>
                <w:rFonts w:cs="Arial"/>
                <w:b/>
                <w:bCs/>
                <w:sz w:val="20"/>
              </w:rPr>
              <w:t>Health, Pharmacy and Dental Insurance Programs</w:t>
            </w:r>
          </w:p>
        </w:tc>
        <w:tc>
          <w:tcPr>
            <w:tcW w:w="3420" w:type="dxa"/>
            <w:shd w:val="clear" w:color="auto" w:fill="EEECE1" w:themeFill="background2"/>
          </w:tcPr>
          <w:p w14:paraId="36D79A3A" w14:textId="657568B7" w:rsidR="004436D3" w:rsidRPr="009B73AB" w:rsidRDefault="004436D3" w:rsidP="00246B89">
            <w:pPr>
              <w:rPr>
                <w:rFonts w:cs="Arial"/>
                <w:b/>
                <w:bCs/>
                <w:sz w:val="20"/>
              </w:rPr>
            </w:pPr>
            <w:r w:rsidRPr="009B73AB">
              <w:rPr>
                <w:rFonts w:cs="Arial"/>
                <w:b/>
                <w:bCs/>
                <w:sz w:val="20"/>
              </w:rPr>
              <w:t xml:space="preserve">Will the health benefits administration partner receive notification of employees eligible for retiree benefits (e.g. status via the HRIS system) or is support requested for determining benefits eligibility? If the latter, </w:t>
            </w:r>
            <w:r w:rsidRPr="009B73AB">
              <w:rPr>
                <w:rFonts w:cs="Arial"/>
                <w:b/>
                <w:bCs/>
                <w:sz w:val="20"/>
              </w:rPr>
              <w:lastRenderedPageBreak/>
              <w:t>please describe the calculation rules and data provided in support of the calculation.</w:t>
            </w:r>
          </w:p>
        </w:tc>
        <w:tc>
          <w:tcPr>
            <w:tcW w:w="5490" w:type="dxa"/>
            <w:shd w:val="clear" w:color="auto" w:fill="EEECE1" w:themeFill="background2"/>
          </w:tcPr>
          <w:p w14:paraId="7D469CB4" w14:textId="3808A4C2" w:rsidR="004436D3" w:rsidRPr="009B73AB" w:rsidRDefault="004436D3" w:rsidP="00246B89">
            <w:pPr>
              <w:spacing w:after="160"/>
              <w:rPr>
                <w:b/>
                <w:bCs/>
                <w:color w:val="000000"/>
                <w:sz w:val="20"/>
              </w:rPr>
            </w:pPr>
            <w:r w:rsidRPr="009B73AB">
              <w:rPr>
                <w:b/>
                <w:bCs/>
                <w:color w:val="000000"/>
                <w:sz w:val="20"/>
              </w:rPr>
              <w:lastRenderedPageBreak/>
              <w:t xml:space="preserve">ETF’s primary notification that an employee may be eligible for retiree benefits is the receipt of the employee’s retirement application. This data can be interfaced from the pension system. </w:t>
            </w:r>
          </w:p>
          <w:p w14:paraId="7D7B1B7F" w14:textId="7428AC28" w:rsidR="004436D3" w:rsidRPr="009B73AB" w:rsidRDefault="004436D3" w:rsidP="00246B89">
            <w:pPr>
              <w:spacing w:after="160"/>
              <w:rPr>
                <w:b/>
                <w:bCs/>
                <w:color w:val="000000"/>
                <w:sz w:val="20"/>
              </w:rPr>
            </w:pPr>
            <w:r w:rsidRPr="009B73AB">
              <w:rPr>
                <w:b/>
                <w:bCs/>
                <w:color w:val="000000"/>
                <w:sz w:val="20"/>
              </w:rPr>
              <w:lastRenderedPageBreak/>
              <w:t>We also receive notice from employers of employee retirements via sources such as:</w:t>
            </w:r>
          </w:p>
          <w:p w14:paraId="5761739D" w14:textId="2C9DC251" w:rsidR="004436D3" w:rsidRPr="009B73AB" w:rsidRDefault="004436D3" w:rsidP="00DF08D1">
            <w:pPr>
              <w:pStyle w:val="ListParagraph"/>
              <w:numPr>
                <w:ilvl w:val="0"/>
                <w:numId w:val="46"/>
              </w:numPr>
              <w:spacing w:after="160"/>
              <w:ind w:left="340"/>
              <w:rPr>
                <w:b/>
                <w:bCs/>
                <w:color w:val="000000"/>
                <w:sz w:val="20"/>
              </w:rPr>
            </w:pPr>
            <w:r w:rsidRPr="009B73AB">
              <w:rPr>
                <w:b/>
                <w:bCs/>
                <w:color w:val="000000"/>
                <w:sz w:val="20"/>
              </w:rPr>
              <w:t>Sick leave credits submitted via AcSL, our existing sick leave system</w:t>
            </w:r>
          </w:p>
          <w:p w14:paraId="7D22201E" w14:textId="12F40FBF" w:rsidR="004436D3" w:rsidRPr="009B73AB" w:rsidRDefault="004436D3" w:rsidP="00DF08D1">
            <w:pPr>
              <w:pStyle w:val="ListParagraph"/>
              <w:numPr>
                <w:ilvl w:val="0"/>
                <w:numId w:val="46"/>
              </w:numPr>
              <w:spacing w:after="160"/>
              <w:ind w:left="340"/>
              <w:rPr>
                <w:b/>
                <w:bCs/>
                <w:color w:val="000000"/>
                <w:sz w:val="20"/>
              </w:rPr>
            </w:pPr>
            <w:r w:rsidRPr="009B73AB">
              <w:rPr>
                <w:b/>
                <w:bCs/>
                <w:color w:val="000000"/>
                <w:sz w:val="20"/>
              </w:rPr>
              <w:t>Certain transactions, termination reasons, or contract designations entered in MEBS, our existing health insurance system</w:t>
            </w:r>
          </w:p>
          <w:p w14:paraId="380CC018" w14:textId="79C4D454" w:rsidR="004436D3" w:rsidRPr="009B73AB" w:rsidRDefault="004436D3" w:rsidP="00DF08D1">
            <w:pPr>
              <w:pStyle w:val="ListParagraph"/>
              <w:numPr>
                <w:ilvl w:val="0"/>
                <w:numId w:val="46"/>
              </w:numPr>
              <w:spacing w:after="160"/>
              <w:ind w:left="340"/>
              <w:rPr>
                <w:b/>
                <w:bCs/>
                <w:color w:val="000000"/>
                <w:sz w:val="20"/>
              </w:rPr>
            </w:pPr>
            <w:r w:rsidRPr="009B73AB">
              <w:rPr>
                <w:b/>
                <w:bCs/>
                <w:color w:val="000000"/>
                <w:sz w:val="20"/>
              </w:rPr>
              <w:t>Verification of health insurance coverage form from local employers</w:t>
            </w:r>
          </w:p>
          <w:p w14:paraId="17102CBB" w14:textId="36A638DC" w:rsidR="004436D3" w:rsidRPr="009B73AB" w:rsidRDefault="004436D3" w:rsidP="00246B89">
            <w:pPr>
              <w:spacing w:after="160"/>
              <w:rPr>
                <w:b/>
                <w:bCs/>
                <w:color w:val="000000"/>
                <w:sz w:val="20"/>
              </w:rPr>
            </w:pPr>
            <w:r w:rsidRPr="009B73AB">
              <w:rPr>
                <w:b/>
                <w:bCs/>
                <w:color w:val="000000"/>
                <w:sz w:val="20"/>
              </w:rPr>
              <w:t xml:space="preserve">Today, these processes are very manual and reactive, often occurring after the employee has already retired. Due to the timing of when these different activities occur, sometimes new retirees experience a temporary lapse in insurance coverage. </w:t>
            </w:r>
          </w:p>
          <w:p w14:paraId="2BE91AF7" w14:textId="05853D9B" w:rsidR="004436D3" w:rsidRPr="009B73AB" w:rsidRDefault="004436D3" w:rsidP="00246B89">
            <w:pPr>
              <w:spacing w:after="160"/>
              <w:rPr>
                <w:b/>
                <w:bCs/>
                <w:color w:val="000000"/>
                <w:sz w:val="20"/>
              </w:rPr>
            </w:pPr>
            <w:r w:rsidRPr="009B73AB">
              <w:rPr>
                <w:b/>
                <w:bCs/>
                <w:color w:val="000000"/>
                <w:sz w:val="20"/>
              </w:rPr>
              <w:t xml:space="preserve">We are interested in opportunities to eliminate these manual processes and proactively identify and reach out to employees nearing retirement milestones (e.g., minimum retirement or Medicare age) to better facilitate timely retiree enrollment in insurance benefits.  </w:t>
            </w:r>
          </w:p>
          <w:p w14:paraId="08448262" w14:textId="46200B3B" w:rsidR="004436D3" w:rsidRPr="009B73AB" w:rsidRDefault="004436D3" w:rsidP="00246B89">
            <w:pPr>
              <w:spacing w:after="160"/>
              <w:rPr>
                <w:b/>
                <w:bCs/>
                <w:color w:val="000000"/>
                <w:sz w:val="20"/>
              </w:rPr>
            </w:pPr>
            <w:r w:rsidRPr="009B73AB">
              <w:rPr>
                <w:b/>
                <w:bCs/>
                <w:color w:val="000000"/>
                <w:sz w:val="20"/>
              </w:rPr>
              <w:t xml:space="preserve">We are also interested in </w:t>
            </w:r>
            <w:r w:rsidRPr="009B73AB">
              <w:rPr>
                <w:rFonts w:cs="Arial"/>
                <w:b/>
                <w:bCs/>
                <w:sz w:val="20"/>
              </w:rPr>
              <w:t xml:space="preserve">any capabilities the Proposer’s system may offer to streamline, enhance, automate, and effectively identify and manage employee eligibility for retiree insurance benefits. </w:t>
            </w:r>
          </w:p>
        </w:tc>
      </w:tr>
      <w:tr w:rsidR="004436D3" w:rsidRPr="00316D06" w14:paraId="6F2BAC11" w14:textId="77777777" w:rsidTr="00AC3150">
        <w:tc>
          <w:tcPr>
            <w:tcW w:w="720" w:type="dxa"/>
            <w:shd w:val="clear" w:color="auto" w:fill="DBE5F1" w:themeFill="accent1" w:themeFillTint="33"/>
          </w:tcPr>
          <w:p w14:paraId="7CC6DDE8" w14:textId="22AA05AF" w:rsidR="004436D3" w:rsidRPr="00316D06" w:rsidRDefault="004436D3" w:rsidP="00246B89">
            <w:pPr>
              <w:spacing w:after="160"/>
              <w:jc w:val="both"/>
              <w:rPr>
                <w:rFonts w:eastAsia="Calibri" w:cs="Arial"/>
                <w:b/>
                <w:bCs/>
                <w:sz w:val="20"/>
              </w:rPr>
            </w:pPr>
            <w:bookmarkStart w:id="40" w:name="_Hlk35849408"/>
            <w:bookmarkEnd w:id="39"/>
            <w:r w:rsidRPr="00316D06">
              <w:rPr>
                <w:rFonts w:eastAsia="Calibri" w:cs="Arial"/>
                <w:b/>
                <w:bCs/>
                <w:sz w:val="20"/>
              </w:rPr>
              <w:lastRenderedPageBreak/>
              <w:t>Q95</w:t>
            </w:r>
          </w:p>
        </w:tc>
        <w:tc>
          <w:tcPr>
            <w:tcW w:w="1710" w:type="dxa"/>
            <w:shd w:val="clear" w:color="auto" w:fill="DBE5F1" w:themeFill="accent1" w:themeFillTint="33"/>
          </w:tcPr>
          <w:p w14:paraId="743BF9ED" w14:textId="7F00CFA8" w:rsidR="004436D3" w:rsidRPr="00316D06" w:rsidRDefault="004436D3" w:rsidP="00246B89">
            <w:pPr>
              <w:spacing w:before="120" w:after="120"/>
              <w:rPr>
                <w:rFonts w:cs="Arial"/>
                <w:b/>
                <w:bCs/>
                <w:sz w:val="20"/>
              </w:rPr>
            </w:pPr>
            <w:r w:rsidRPr="00316D06">
              <w:rPr>
                <w:rFonts w:cs="Arial"/>
                <w:b/>
                <w:bCs/>
                <w:sz w:val="20"/>
              </w:rPr>
              <w:t>RFP</w:t>
            </w:r>
          </w:p>
        </w:tc>
        <w:tc>
          <w:tcPr>
            <w:tcW w:w="1710" w:type="dxa"/>
            <w:shd w:val="clear" w:color="auto" w:fill="DBE5F1" w:themeFill="accent1" w:themeFillTint="33"/>
          </w:tcPr>
          <w:p w14:paraId="3BEFE1A0" w14:textId="5E29BD67" w:rsidR="004436D3" w:rsidRPr="00316D06" w:rsidRDefault="004436D3" w:rsidP="00246B89">
            <w:pPr>
              <w:spacing w:after="160"/>
              <w:jc w:val="both"/>
              <w:rPr>
                <w:rFonts w:cs="Arial"/>
                <w:b/>
                <w:bCs/>
                <w:sz w:val="20"/>
              </w:rPr>
            </w:pPr>
            <w:r w:rsidRPr="00316D06">
              <w:rPr>
                <w:rFonts w:cs="Arial"/>
                <w:b/>
                <w:bCs/>
                <w:sz w:val="20"/>
              </w:rPr>
              <w:t>Health, Pharmacy and Dental Insurance Programs</w:t>
            </w:r>
          </w:p>
        </w:tc>
        <w:tc>
          <w:tcPr>
            <w:tcW w:w="3420" w:type="dxa"/>
            <w:shd w:val="clear" w:color="auto" w:fill="DBE5F1" w:themeFill="accent1" w:themeFillTint="33"/>
          </w:tcPr>
          <w:p w14:paraId="7CAF7995" w14:textId="7C8E55D3" w:rsidR="004436D3" w:rsidRPr="00316D06" w:rsidRDefault="004436D3" w:rsidP="00246B89">
            <w:pPr>
              <w:rPr>
                <w:rFonts w:cs="Arial"/>
                <w:b/>
                <w:bCs/>
                <w:sz w:val="20"/>
              </w:rPr>
            </w:pPr>
            <w:r w:rsidRPr="00316D06">
              <w:rPr>
                <w:rFonts w:cs="Arial"/>
                <w:b/>
                <w:bCs/>
                <w:sz w:val="20"/>
              </w:rPr>
              <w:t>Please describe the payment process, and involved parties, for those leveraging accumulated sick leave conversion credits to pay for medical benefits (e.g. how are individuals identified, how are the credits applied to premiums, etc.).</w:t>
            </w:r>
          </w:p>
        </w:tc>
        <w:tc>
          <w:tcPr>
            <w:tcW w:w="5490" w:type="dxa"/>
            <w:shd w:val="clear" w:color="auto" w:fill="DBE5F1" w:themeFill="accent1" w:themeFillTint="33"/>
          </w:tcPr>
          <w:p w14:paraId="2B519209" w14:textId="77777777" w:rsidR="004436D3" w:rsidRPr="00316D06" w:rsidRDefault="004436D3" w:rsidP="00246B89">
            <w:pPr>
              <w:spacing w:after="160"/>
              <w:rPr>
                <w:b/>
                <w:bCs/>
                <w:color w:val="000000"/>
                <w:sz w:val="20"/>
              </w:rPr>
            </w:pPr>
            <w:r w:rsidRPr="00316D06">
              <w:rPr>
                <w:b/>
                <w:bCs/>
                <w:color w:val="000000"/>
                <w:sz w:val="20"/>
              </w:rPr>
              <w:t xml:space="preserve">Currently, ETF staff manually set up a member’s health insurance contract with a group number that indicates the premium payment source. We use this group number to identify members who are using sick leave credits to pay premiums. </w:t>
            </w:r>
          </w:p>
          <w:p w14:paraId="5BD1F647" w14:textId="7D02B04A" w:rsidR="004436D3" w:rsidRPr="00316D06" w:rsidRDefault="004436D3" w:rsidP="00246B89">
            <w:pPr>
              <w:spacing w:after="160"/>
              <w:rPr>
                <w:b/>
                <w:bCs/>
                <w:color w:val="000000"/>
                <w:sz w:val="20"/>
              </w:rPr>
            </w:pPr>
            <w:r w:rsidRPr="00316D06">
              <w:rPr>
                <w:b/>
                <w:bCs/>
                <w:color w:val="000000"/>
                <w:sz w:val="20"/>
              </w:rPr>
              <w:t xml:space="preserve">MEBS, our current health insurance system, generates a monthly invoice for all members with the designated sick leave group number. AcSL, our current sick leave </w:t>
            </w:r>
            <w:r w:rsidRPr="00316D06">
              <w:rPr>
                <w:b/>
                <w:bCs/>
                <w:color w:val="000000"/>
                <w:sz w:val="20"/>
              </w:rPr>
              <w:lastRenderedPageBreak/>
              <w:t xml:space="preserve">system, uses that invoice information to deduct premiums from member sick leave accounts.  </w:t>
            </w:r>
          </w:p>
          <w:p w14:paraId="6825C85A" w14:textId="01A5A153" w:rsidR="004436D3" w:rsidRPr="00316D06" w:rsidRDefault="004436D3" w:rsidP="00246B89">
            <w:pPr>
              <w:spacing w:after="160"/>
              <w:rPr>
                <w:b/>
                <w:bCs/>
                <w:color w:val="000000"/>
                <w:sz w:val="20"/>
              </w:rPr>
            </w:pPr>
            <w:r w:rsidRPr="00316D06">
              <w:rPr>
                <w:b/>
                <w:bCs/>
                <w:color w:val="000000"/>
                <w:sz w:val="20"/>
              </w:rPr>
              <w:t xml:space="preserve">ETF finance staff move the deducted sick leave credits to the correct general ledger account for payment to the health carriers. They also manually enter the corresponding payment information in MEBS to show that the invoice was paid. </w:t>
            </w:r>
          </w:p>
          <w:p w14:paraId="72D84DC0" w14:textId="1DB2081F" w:rsidR="004436D3" w:rsidRPr="00316D06" w:rsidRDefault="004436D3" w:rsidP="004B5559">
            <w:pPr>
              <w:rPr>
                <w:rFonts w:cs="Arial"/>
                <w:b/>
                <w:bCs/>
                <w:sz w:val="20"/>
              </w:rPr>
            </w:pPr>
            <w:r w:rsidRPr="00316D06">
              <w:rPr>
                <w:b/>
                <w:bCs/>
                <w:color w:val="000000"/>
                <w:sz w:val="20"/>
              </w:rPr>
              <w:t xml:space="preserve">We are interested in </w:t>
            </w:r>
            <w:r w:rsidRPr="00316D06">
              <w:rPr>
                <w:rFonts w:cs="Arial"/>
                <w:b/>
                <w:bCs/>
                <w:sz w:val="20"/>
              </w:rPr>
              <w:t>any capabilities the Proposer’s system offers to streamline, enhance, automate, and effectively manage these functions.</w:t>
            </w:r>
          </w:p>
        </w:tc>
      </w:tr>
      <w:tr w:rsidR="004436D3" w:rsidRPr="008E47AE" w14:paraId="4DAE271B" w14:textId="77777777" w:rsidTr="00AC3150">
        <w:tc>
          <w:tcPr>
            <w:tcW w:w="720" w:type="dxa"/>
            <w:shd w:val="clear" w:color="auto" w:fill="EEECE1" w:themeFill="background2"/>
          </w:tcPr>
          <w:p w14:paraId="55131B6C" w14:textId="553D2C53" w:rsidR="004436D3" w:rsidRPr="008E47AE" w:rsidRDefault="004436D3" w:rsidP="00246B89">
            <w:pPr>
              <w:spacing w:after="160"/>
              <w:jc w:val="both"/>
              <w:rPr>
                <w:rFonts w:eastAsia="Calibri" w:cs="Arial"/>
                <w:b/>
                <w:bCs/>
                <w:sz w:val="20"/>
              </w:rPr>
            </w:pPr>
            <w:bookmarkStart w:id="41" w:name="_Hlk36016754"/>
            <w:bookmarkEnd w:id="40"/>
            <w:r w:rsidRPr="008E47AE">
              <w:rPr>
                <w:rFonts w:eastAsia="Calibri" w:cs="Arial"/>
                <w:b/>
                <w:bCs/>
                <w:sz w:val="20"/>
              </w:rPr>
              <w:lastRenderedPageBreak/>
              <w:t>Q96</w:t>
            </w:r>
          </w:p>
        </w:tc>
        <w:tc>
          <w:tcPr>
            <w:tcW w:w="1710" w:type="dxa"/>
            <w:shd w:val="clear" w:color="auto" w:fill="EEECE1" w:themeFill="background2"/>
          </w:tcPr>
          <w:p w14:paraId="590FE5DC" w14:textId="45FE3AA1" w:rsidR="004436D3" w:rsidRPr="008E47AE" w:rsidRDefault="004436D3" w:rsidP="00246B89">
            <w:pPr>
              <w:spacing w:before="120" w:after="120"/>
              <w:rPr>
                <w:rFonts w:cs="Arial"/>
                <w:b/>
                <w:bCs/>
                <w:sz w:val="20"/>
              </w:rPr>
            </w:pPr>
            <w:r w:rsidRPr="008E47AE">
              <w:rPr>
                <w:rFonts w:cs="Arial"/>
                <w:b/>
                <w:bCs/>
                <w:sz w:val="20"/>
              </w:rPr>
              <w:t>RFP</w:t>
            </w:r>
          </w:p>
        </w:tc>
        <w:tc>
          <w:tcPr>
            <w:tcW w:w="1710" w:type="dxa"/>
            <w:shd w:val="clear" w:color="auto" w:fill="EEECE1" w:themeFill="background2"/>
          </w:tcPr>
          <w:p w14:paraId="51F20AC7" w14:textId="255D4EA9" w:rsidR="004436D3" w:rsidRPr="008E47AE" w:rsidRDefault="004436D3" w:rsidP="00246B89">
            <w:pPr>
              <w:spacing w:after="160"/>
              <w:jc w:val="both"/>
              <w:rPr>
                <w:rFonts w:cs="Arial"/>
                <w:b/>
                <w:bCs/>
                <w:sz w:val="20"/>
              </w:rPr>
            </w:pPr>
            <w:r w:rsidRPr="008E47AE">
              <w:rPr>
                <w:rFonts w:cs="Arial"/>
                <w:b/>
                <w:bCs/>
                <w:sz w:val="20"/>
              </w:rPr>
              <w:t>Health, Pharmacy and Dental Insurance Programs</w:t>
            </w:r>
          </w:p>
        </w:tc>
        <w:tc>
          <w:tcPr>
            <w:tcW w:w="3420" w:type="dxa"/>
            <w:shd w:val="clear" w:color="auto" w:fill="EEECE1" w:themeFill="background2"/>
          </w:tcPr>
          <w:p w14:paraId="4D9456AC" w14:textId="613922EA" w:rsidR="004436D3" w:rsidRPr="008E47AE" w:rsidRDefault="004436D3" w:rsidP="00246B89">
            <w:pPr>
              <w:rPr>
                <w:rFonts w:cs="Arial"/>
                <w:b/>
                <w:bCs/>
                <w:sz w:val="20"/>
              </w:rPr>
            </w:pPr>
            <w:r w:rsidRPr="008E47AE">
              <w:rPr>
                <w:rFonts w:cs="Arial"/>
                <w:b/>
                <w:bCs/>
                <w:sz w:val="20"/>
              </w:rPr>
              <w:t>How are retirees paying for benefits through their annuity identified (i.e., those using sick leave conversion credits vs. payment via annuity)? Please describe any integration with the pension payroll provider requested.</w:t>
            </w:r>
          </w:p>
        </w:tc>
        <w:tc>
          <w:tcPr>
            <w:tcW w:w="5490" w:type="dxa"/>
            <w:shd w:val="clear" w:color="auto" w:fill="EEECE1" w:themeFill="background2"/>
          </w:tcPr>
          <w:p w14:paraId="1080CE5C" w14:textId="5848F62F" w:rsidR="004436D3" w:rsidRDefault="004436D3" w:rsidP="001653CA">
            <w:pPr>
              <w:spacing w:after="160"/>
              <w:rPr>
                <w:b/>
                <w:bCs/>
                <w:color w:val="000000"/>
                <w:sz w:val="20"/>
              </w:rPr>
            </w:pPr>
            <w:r w:rsidRPr="00316D06">
              <w:rPr>
                <w:b/>
                <w:bCs/>
                <w:color w:val="000000"/>
                <w:sz w:val="20"/>
              </w:rPr>
              <w:t xml:space="preserve">Currently, ETF staff manually set up a </w:t>
            </w:r>
            <w:r>
              <w:rPr>
                <w:b/>
                <w:bCs/>
                <w:color w:val="000000"/>
                <w:sz w:val="20"/>
              </w:rPr>
              <w:t>retiree’s</w:t>
            </w:r>
            <w:r w:rsidRPr="00316D06">
              <w:rPr>
                <w:b/>
                <w:bCs/>
                <w:color w:val="000000"/>
                <w:sz w:val="20"/>
              </w:rPr>
              <w:t xml:space="preserve"> health insurance contract with a group number that indicates the premium payment source. </w:t>
            </w:r>
            <w:r>
              <w:rPr>
                <w:b/>
                <w:bCs/>
                <w:color w:val="000000"/>
                <w:sz w:val="20"/>
              </w:rPr>
              <w:t>Retirees</w:t>
            </w:r>
            <w:r w:rsidRPr="00316D06">
              <w:rPr>
                <w:b/>
                <w:bCs/>
                <w:color w:val="000000"/>
                <w:sz w:val="20"/>
              </w:rPr>
              <w:t xml:space="preserve"> who are using sick leave credits to pay premiums</w:t>
            </w:r>
            <w:r>
              <w:rPr>
                <w:b/>
                <w:bCs/>
                <w:color w:val="000000"/>
                <w:sz w:val="20"/>
              </w:rPr>
              <w:t xml:space="preserve"> have a different group number than those who are paying via annuity deduction, are direct billed, etc.</w:t>
            </w:r>
          </w:p>
          <w:p w14:paraId="778DCAB5" w14:textId="26FDFAFB" w:rsidR="004436D3" w:rsidRDefault="004436D3" w:rsidP="001653CA">
            <w:pPr>
              <w:spacing w:after="160"/>
              <w:rPr>
                <w:b/>
                <w:bCs/>
                <w:color w:val="000000"/>
                <w:sz w:val="20"/>
              </w:rPr>
            </w:pPr>
            <w:r>
              <w:rPr>
                <w:b/>
                <w:bCs/>
                <w:color w:val="000000"/>
                <w:sz w:val="20"/>
              </w:rPr>
              <w:t xml:space="preserve">When a retiree’s sick leave credits are exhausted, ETF staff manually change the group number from the sick leave group number to the appropriate new group number (e.g., annuity deduction, direct bill, etc.). </w:t>
            </w:r>
          </w:p>
          <w:p w14:paraId="4ECDF148" w14:textId="3AFFA7E0" w:rsidR="004436D3" w:rsidRPr="008E47AE" w:rsidRDefault="004436D3" w:rsidP="001653CA">
            <w:pPr>
              <w:spacing w:after="160"/>
              <w:rPr>
                <w:rFonts w:cs="Arial"/>
                <w:b/>
                <w:bCs/>
                <w:sz w:val="20"/>
              </w:rPr>
            </w:pPr>
            <w:r w:rsidRPr="00316D06">
              <w:rPr>
                <w:b/>
                <w:bCs/>
                <w:color w:val="000000"/>
                <w:sz w:val="20"/>
              </w:rPr>
              <w:t xml:space="preserve">We are interested in </w:t>
            </w:r>
            <w:r w:rsidRPr="00316D06">
              <w:rPr>
                <w:rFonts w:cs="Arial"/>
                <w:b/>
                <w:bCs/>
                <w:sz w:val="20"/>
              </w:rPr>
              <w:t>any capabilities the Proposer’s system offers to streamline, enhance, automate, and effectively manage these functions.</w:t>
            </w:r>
          </w:p>
        </w:tc>
      </w:tr>
      <w:tr w:rsidR="004436D3" w:rsidRPr="001B27EC" w14:paraId="5B950DD9" w14:textId="77777777" w:rsidTr="00AC3150">
        <w:tc>
          <w:tcPr>
            <w:tcW w:w="720" w:type="dxa"/>
            <w:shd w:val="clear" w:color="auto" w:fill="DBE5F1" w:themeFill="accent1" w:themeFillTint="33"/>
          </w:tcPr>
          <w:p w14:paraId="69C0207A" w14:textId="5E816F98" w:rsidR="004436D3" w:rsidRPr="001B27EC" w:rsidRDefault="004436D3" w:rsidP="00246B89">
            <w:pPr>
              <w:spacing w:after="160"/>
              <w:jc w:val="both"/>
              <w:rPr>
                <w:rFonts w:eastAsia="Calibri" w:cs="Arial"/>
                <w:b/>
                <w:bCs/>
                <w:sz w:val="20"/>
              </w:rPr>
            </w:pPr>
            <w:bookmarkStart w:id="42" w:name="_Hlk36016769"/>
            <w:bookmarkEnd w:id="41"/>
            <w:r w:rsidRPr="001B27EC">
              <w:rPr>
                <w:rFonts w:eastAsia="Calibri" w:cs="Arial"/>
                <w:b/>
                <w:bCs/>
                <w:sz w:val="20"/>
              </w:rPr>
              <w:t>Q97</w:t>
            </w:r>
          </w:p>
        </w:tc>
        <w:tc>
          <w:tcPr>
            <w:tcW w:w="1710" w:type="dxa"/>
            <w:shd w:val="clear" w:color="auto" w:fill="DBE5F1" w:themeFill="accent1" w:themeFillTint="33"/>
          </w:tcPr>
          <w:p w14:paraId="0AAAE3CE" w14:textId="46B97ED5" w:rsidR="004436D3" w:rsidRPr="001B27EC" w:rsidRDefault="004436D3" w:rsidP="00246B89">
            <w:pPr>
              <w:spacing w:before="120" w:after="120"/>
              <w:rPr>
                <w:rFonts w:cs="Arial"/>
                <w:b/>
                <w:bCs/>
                <w:sz w:val="20"/>
              </w:rPr>
            </w:pPr>
            <w:r w:rsidRPr="001B27EC">
              <w:rPr>
                <w:rFonts w:cs="Arial"/>
                <w:b/>
                <w:bCs/>
                <w:sz w:val="20"/>
              </w:rPr>
              <w:t>RFP</w:t>
            </w:r>
          </w:p>
        </w:tc>
        <w:tc>
          <w:tcPr>
            <w:tcW w:w="1710" w:type="dxa"/>
            <w:shd w:val="clear" w:color="auto" w:fill="DBE5F1" w:themeFill="accent1" w:themeFillTint="33"/>
          </w:tcPr>
          <w:p w14:paraId="58F2167F" w14:textId="0C771075" w:rsidR="004436D3" w:rsidRPr="001B27EC" w:rsidRDefault="004436D3" w:rsidP="00246B89">
            <w:pPr>
              <w:spacing w:after="160"/>
              <w:jc w:val="both"/>
              <w:rPr>
                <w:rFonts w:cs="Arial"/>
                <w:b/>
                <w:bCs/>
                <w:sz w:val="20"/>
              </w:rPr>
            </w:pPr>
            <w:r w:rsidRPr="001B27EC">
              <w:rPr>
                <w:rFonts w:cs="Arial"/>
                <w:b/>
                <w:bCs/>
                <w:sz w:val="20"/>
              </w:rPr>
              <w:t>Health, Pharmacy and Dental Insurance Programs</w:t>
            </w:r>
          </w:p>
        </w:tc>
        <w:tc>
          <w:tcPr>
            <w:tcW w:w="3420" w:type="dxa"/>
            <w:shd w:val="clear" w:color="auto" w:fill="DBE5F1" w:themeFill="accent1" w:themeFillTint="33"/>
          </w:tcPr>
          <w:p w14:paraId="5A55FCF9" w14:textId="64CE2C47" w:rsidR="004436D3" w:rsidRPr="001B27EC" w:rsidRDefault="004436D3" w:rsidP="00246B89">
            <w:pPr>
              <w:rPr>
                <w:rFonts w:cs="Arial"/>
                <w:b/>
                <w:bCs/>
                <w:sz w:val="20"/>
              </w:rPr>
            </w:pPr>
            <w:r w:rsidRPr="001B27EC">
              <w:rPr>
                <w:rFonts w:cs="Arial"/>
                <w:b/>
                <w:bCs/>
                <w:sz w:val="20"/>
              </w:rPr>
              <w:t>Please describe the process, and involved parties, for actives/retirees converting their life insurance for the purposes of using for the payment of benefits (e.g. cash payout from the life insurance carrier).</w:t>
            </w:r>
          </w:p>
        </w:tc>
        <w:tc>
          <w:tcPr>
            <w:tcW w:w="5490" w:type="dxa"/>
            <w:shd w:val="clear" w:color="auto" w:fill="DBE5F1" w:themeFill="accent1" w:themeFillTint="33"/>
          </w:tcPr>
          <w:p w14:paraId="20320542" w14:textId="24AAEC9E" w:rsidR="004436D3" w:rsidRPr="001B27EC" w:rsidRDefault="004436D3" w:rsidP="00FD7A60">
            <w:pPr>
              <w:spacing w:after="160"/>
              <w:rPr>
                <w:b/>
                <w:bCs/>
                <w:color w:val="000000"/>
                <w:sz w:val="20"/>
              </w:rPr>
            </w:pPr>
            <w:r w:rsidRPr="001B27EC">
              <w:rPr>
                <w:b/>
                <w:bCs/>
                <w:color w:val="000000"/>
                <w:sz w:val="20"/>
              </w:rPr>
              <w:t>There are two options for eligible members to convert their life insurance benefit to a cash value:</w:t>
            </w:r>
          </w:p>
          <w:p w14:paraId="4E696476" w14:textId="0EF31833" w:rsidR="004436D3" w:rsidRPr="001B27EC" w:rsidRDefault="004436D3" w:rsidP="00E54E80">
            <w:pPr>
              <w:pStyle w:val="ListParagraph"/>
              <w:numPr>
                <w:ilvl w:val="0"/>
                <w:numId w:val="47"/>
              </w:numPr>
              <w:spacing w:after="160"/>
              <w:rPr>
                <w:b/>
                <w:bCs/>
                <w:color w:val="000000"/>
                <w:sz w:val="20"/>
              </w:rPr>
            </w:pPr>
            <w:r w:rsidRPr="001B27EC">
              <w:rPr>
                <w:b/>
                <w:bCs/>
                <w:color w:val="000000"/>
                <w:sz w:val="20"/>
              </w:rPr>
              <w:t>Living Benefits</w:t>
            </w:r>
          </w:p>
          <w:p w14:paraId="1EF41314" w14:textId="2E52FFF3" w:rsidR="004436D3" w:rsidRPr="001B27EC" w:rsidRDefault="004436D3" w:rsidP="00E54E80">
            <w:pPr>
              <w:pStyle w:val="ListParagraph"/>
              <w:numPr>
                <w:ilvl w:val="0"/>
                <w:numId w:val="47"/>
              </w:numPr>
              <w:spacing w:after="160"/>
              <w:rPr>
                <w:b/>
                <w:bCs/>
                <w:color w:val="000000"/>
                <w:sz w:val="20"/>
              </w:rPr>
            </w:pPr>
            <w:r w:rsidRPr="001B27EC">
              <w:rPr>
                <w:b/>
                <w:bCs/>
                <w:color w:val="000000"/>
                <w:sz w:val="20"/>
              </w:rPr>
              <w:t>Life Insurance Conversion</w:t>
            </w:r>
          </w:p>
          <w:p w14:paraId="4131DF8D" w14:textId="7895D3A2" w:rsidR="004436D3" w:rsidRPr="001B27EC" w:rsidRDefault="004436D3" w:rsidP="00E54E80">
            <w:pPr>
              <w:spacing w:after="160"/>
              <w:rPr>
                <w:b/>
                <w:bCs/>
                <w:color w:val="000000"/>
                <w:sz w:val="20"/>
              </w:rPr>
            </w:pPr>
            <w:r w:rsidRPr="001B27EC">
              <w:rPr>
                <w:b/>
                <w:bCs/>
                <w:color w:val="000000"/>
                <w:sz w:val="20"/>
              </w:rPr>
              <w:t xml:space="preserve">Today, members send applications for Living Benefits to ETF. However, processing those applications and making any associated payments are handled by the life insurance TPA. </w:t>
            </w:r>
          </w:p>
          <w:p w14:paraId="26E4D627" w14:textId="6BAAAB5D" w:rsidR="004436D3" w:rsidRPr="001B27EC" w:rsidRDefault="004436D3" w:rsidP="00E54E80">
            <w:pPr>
              <w:spacing w:after="160"/>
              <w:rPr>
                <w:b/>
                <w:bCs/>
                <w:color w:val="000000"/>
                <w:sz w:val="20"/>
              </w:rPr>
            </w:pPr>
            <w:r w:rsidRPr="001B27EC">
              <w:rPr>
                <w:b/>
                <w:bCs/>
                <w:color w:val="000000"/>
                <w:sz w:val="20"/>
              </w:rPr>
              <w:lastRenderedPageBreak/>
              <w:t xml:space="preserve">Members also send requests for life insurance conversion to ETF, where staff evaluate the member’s eligibility and calculate the conversion value. The life insurance TPA is responsible for managing conversion accounts and forwarding monthly premiums from those accounts to ETF for health insurance premiums and/or to the long-term care insurance TPA for those plans. As the conversion account nears depletion, the life insurance TPA notifies the member and ETF so alternate sources for future premium payments can be set up.  </w:t>
            </w:r>
          </w:p>
          <w:p w14:paraId="2FD6B972" w14:textId="7EC0179E" w:rsidR="004436D3" w:rsidRPr="001B27EC" w:rsidRDefault="004436D3" w:rsidP="001B27EC">
            <w:pPr>
              <w:spacing w:after="160"/>
              <w:rPr>
                <w:rFonts w:cs="Arial"/>
                <w:b/>
                <w:bCs/>
                <w:sz w:val="20"/>
              </w:rPr>
            </w:pPr>
            <w:r w:rsidRPr="001B27EC">
              <w:rPr>
                <w:b/>
                <w:bCs/>
                <w:color w:val="000000"/>
                <w:sz w:val="20"/>
              </w:rPr>
              <w:t xml:space="preserve">We are interested in </w:t>
            </w:r>
            <w:r w:rsidRPr="001B27EC">
              <w:rPr>
                <w:rFonts w:cs="Arial"/>
                <w:b/>
                <w:bCs/>
                <w:sz w:val="20"/>
              </w:rPr>
              <w:t>any capabilities the Proposer’s system offers to streamline, enhance, automate, and effectively manage these functions.</w:t>
            </w:r>
          </w:p>
        </w:tc>
      </w:tr>
      <w:tr w:rsidR="004436D3" w:rsidRPr="0092178A" w14:paraId="12371C16" w14:textId="77777777" w:rsidTr="00AC3150">
        <w:tc>
          <w:tcPr>
            <w:tcW w:w="720" w:type="dxa"/>
            <w:shd w:val="clear" w:color="auto" w:fill="EEECE1" w:themeFill="background2"/>
          </w:tcPr>
          <w:p w14:paraId="13DD8F1D" w14:textId="482102F6" w:rsidR="004436D3" w:rsidRPr="0092178A" w:rsidRDefault="004436D3" w:rsidP="00246B89">
            <w:pPr>
              <w:spacing w:after="160"/>
              <w:jc w:val="both"/>
              <w:rPr>
                <w:rFonts w:eastAsia="Calibri" w:cs="Arial"/>
                <w:b/>
                <w:bCs/>
                <w:sz w:val="20"/>
              </w:rPr>
            </w:pPr>
            <w:bookmarkStart w:id="43" w:name="_Hlk36016783"/>
            <w:bookmarkEnd w:id="42"/>
            <w:r w:rsidRPr="0092178A">
              <w:rPr>
                <w:rFonts w:eastAsia="Calibri" w:cs="Arial"/>
                <w:b/>
                <w:bCs/>
                <w:sz w:val="20"/>
              </w:rPr>
              <w:lastRenderedPageBreak/>
              <w:t>Q98</w:t>
            </w:r>
          </w:p>
        </w:tc>
        <w:tc>
          <w:tcPr>
            <w:tcW w:w="1710" w:type="dxa"/>
            <w:shd w:val="clear" w:color="auto" w:fill="EEECE1" w:themeFill="background2"/>
          </w:tcPr>
          <w:p w14:paraId="35C818CA" w14:textId="73D99A21" w:rsidR="004436D3" w:rsidRPr="0092178A" w:rsidRDefault="004436D3" w:rsidP="00246B89">
            <w:pPr>
              <w:spacing w:before="120" w:after="120"/>
              <w:rPr>
                <w:rFonts w:cs="Arial"/>
                <w:b/>
                <w:bCs/>
                <w:sz w:val="20"/>
              </w:rPr>
            </w:pPr>
            <w:r w:rsidRPr="0092178A">
              <w:rPr>
                <w:rFonts w:cs="Arial"/>
                <w:b/>
                <w:bCs/>
                <w:sz w:val="20"/>
              </w:rPr>
              <w:t>RFP</w:t>
            </w:r>
          </w:p>
        </w:tc>
        <w:tc>
          <w:tcPr>
            <w:tcW w:w="1710" w:type="dxa"/>
            <w:shd w:val="clear" w:color="auto" w:fill="EEECE1" w:themeFill="background2"/>
          </w:tcPr>
          <w:p w14:paraId="586BBB46" w14:textId="3CDB8717" w:rsidR="004436D3" w:rsidRPr="0092178A" w:rsidRDefault="004436D3" w:rsidP="00246B89">
            <w:pPr>
              <w:spacing w:after="160"/>
              <w:jc w:val="both"/>
              <w:rPr>
                <w:rFonts w:cs="Arial"/>
                <w:b/>
                <w:bCs/>
                <w:sz w:val="20"/>
              </w:rPr>
            </w:pPr>
            <w:r w:rsidRPr="0092178A">
              <w:rPr>
                <w:rFonts w:cs="Arial"/>
                <w:b/>
                <w:bCs/>
                <w:sz w:val="20"/>
              </w:rPr>
              <w:t>Health, Pharmacy and Dental Insurance Programs</w:t>
            </w:r>
          </w:p>
        </w:tc>
        <w:tc>
          <w:tcPr>
            <w:tcW w:w="3420" w:type="dxa"/>
            <w:shd w:val="clear" w:color="auto" w:fill="EEECE1" w:themeFill="background2"/>
          </w:tcPr>
          <w:p w14:paraId="37FC479E" w14:textId="30F2ABB4" w:rsidR="004436D3" w:rsidRPr="0092178A" w:rsidRDefault="004436D3" w:rsidP="00246B89">
            <w:pPr>
              <w:rPr>
                <w:rFonts w:cs="Arial"/>
                <w:b/>
                <w:bCs/>
                <w:sz w:val="20"/>
              </w:rPr>
            </w:pPr>
            <w:r w:rsidRPr="0092178A">
              <w:rPr>
                <w:rFonts w:cs="Arial"/>
                <w:b/>
                <w:bCs/>
                <w:sz w:val="20"/>
              </w:rPr>
              <w:t>Describe the involved parties and points of integration for the process of confirming individuals have used accumulated sick leave credits before drawing down life insurance to pay health insurance premiums.</w:t>
            </w:r>
          </w:p>
        </w:tc>
        <w:tc>
          <w:tcPr>
            <w:tcW w:w="5490" w:type="dxa"/>
            <w:shd w:val="clear" w:color="auto" w:fill="EEECE1" w:themeFill="background2"/>
          </w:tcPr>
          <w:p w14:paraId="13801A0E" w14:textId="2F9E4F79" w:rsidR="004436D3" w:rsidRPr="0092178A" w:rsidRDefault="004436D3" w:rsidP="00246B89">
            <w:pPr>
              <w:spacing w:after="160"/>
              <w:rPr>
                <w:b/>
                <w:bCs/>
                <w:color w:val="000000"/>
                <w:sz w:val="20"/>
              </w:rPr>
            </w:pPr>
            <w:r w:rsidRPr="0092178A">
              <w:rPr>
                <w:b/>
                <w:bCs/>
                <w:color w:val="000000"/>
                <w:sz w:val="20"/>
              </w:rPr>
              <w:t>Today, this is a very manual process. As described in the response to question Q96 above, member health insurance contracts are assigned a group number that indicate the premium payment source. Currently, ETF staff manually review and verify the sick leave account in AcSL, our existing sick leave system, has been depleted prior to manually changing the group number to the one assigned to life insurance conversion credits.</w:t>
            </w:r>
          </w:p>
          <w:p w14:paraId="64545469" w14:textId="6D789FE6" w:rsidR="004436D3" w:rsidRPr="0092178A" w:rsidRDefault="004436D3" w:rsidP="0092178A">
            <w:pPr>
              <w:spacing w:after="160"/>
              <w:rPr>
                <w:rFonts w:cs="Arial"/>
                <w:b/>
                <w:bCs/>
                <w:sz w:val="20"/>
              </w:rPr>
            </w:pPr>
            <w:r w:rsidRPr="0092178A">
              <w:rPr>
                <w:b/>
                <w:bCs/>
                <w:color w:val="000000"/>
                <w:sz w:val="20"/>
              </w:rPr>
              <w:t xml:space="preserve">We would like to see these manual processes eliminated, if possible, so we are interested in </w:t>
            </w:r>
            <w:r w:rsidRPr="0092178A">
              <w:rPr>
                <w:rFonts w:cs="Arial"/>
                <w:b/>
                <w:bCs/>
                <w:sz w:val="20"/>
              </w:rPr>
              <w:t>any capabilities the Proposer’s system may offer to streamline, enhance, automate, and effectively manage these functions.</w:t>
            </w:r>
          </w:p>
        </w:tc>
      </w:tr>
      <w:bookmarkEnd w:id="43"/>
      <w:tr w:rsidR="004436D3" w:rsidRPr="00095924" w14:paraId="3CFB000B" w14:textId="77777777" w:rsidTr="00AC3150">
        <w:tc>
          <w:tcPr>
            <w:tcW w:w="720" w:type="dxa"/>
            <w:shd w:val="clear" w:color="auto" w:fill="DBE5F1" w:themeFill="accent1" w:themeFillTint="33"/>
          </w:tcPr>
          <w:p w14:paraId="621EBE65" w14:textId="30BAE474" w:rsidR="004436D3" w:rsidRPr="00095924" w:rsidRDefault="004436D3" w:rsidP="00246B89">
            <w:pPr>
              <w:spacing w:after="160"/>
              <w:jc w:val="both"/>
              <w:rPr>
                <w:rFonts w:eastAsia="Calibri" w:cs="Arial"/>
                <w:b/>
                <w:bCs/>
                <w:sz w:val="20"/>
              </w:rPr>
            </w:pPr>
            <w:r w:rsidRPr="00095924">
              <w:rPr>
                <w:rFonts w:eastAsia="Calibri" w:cs="Arial"/>
                <w:b/>
                <w:bCs/>
                <w:sz w:val="20"/>
              </w:rPr>
              <w:t>Q99</w:t>
            </w:r>
          </w:p>
        </w:tc>
        <w:tc>
          <w:tcPr>
            <w:tcW w:w="1710" w:type="dxa"/>
            <w:shd w:val="clear" w:color="auto" w:fill="DBE5F1" w:themeFill="accent1" w:themeFillTint="33"/>
          </w:tcPr>
          <w:p w14:paraId="507B0FCB" w14:textId="430EA0A9" w:rsidR="004436D3" w:rsidRPr="00095924" w:rsidRDefault="004436D3" w:rsidP="00246B89">
            <w:pPr>
              <w:spacing w:before="120" w:after="120"/>
              <w:rPr>
                <w:rFonts w:cs="Arial"/>
                <w:b/>
                <w:bCs/>
                <w:sz w:val="20"/>
              </w:rPr>
            </w:pPr>
            <w:r w:rsidRPr="00095924">
              <w:rPr>
                <w:rFonts w:cs="Arial"/>
                <w:b/>
                <w:bCs/>
                <w:sz w:val="20"/>
              </w:rPr>
              <w:t>RFP</w:t>
            </w:r>
          </w:p>
        </w:tc>
        <w:tc>
          <w:tcPr>
            <w:tcW w:w="1710" w:type="dxa"/>
            <w:shd w:val="clear" w:color="auto" w:fill="DBE5F1" w:themeFill="accent1" w:themeFillTint="33"/>
          </w:tcPr>
          <w:p w14:paraId="1C19B631" w14:textId="46B31D93" w:rsidR="004436D3" w:rsidRPr="00095924" w:rsidRDefault="004436D3" w:rsidP="00246B89">
            <w:pPr>
              <w:spacing w:after="160"/>
              <w:jc w:val="both"/>
              <w:rPr>
                <w:rFonts w:cs="Arial"/>
                <w:b/>
                <w:bCs/>
                <w:sz w:val="20"/>
              </w:rPr>
            </w:pPr>
            <w:r w:rsidRPr="00095924">
              <w:rPr>
                <w:rFonts w:cs="Arial"/>
                <w:b/>
                <w:bCs/>
                <w:sz w:val="20"/>
              </w:rPr>
              <w:t>Health, Pharmacy and Dental Insurance Programs</w:t>
            </w:r>
          </w:p>
        </w:tc>
        <w:tc>
          <w:tcPr>
            <w:tcW w:w="3420" w:type="dxa"/>
            <w:shd w:val="clear" w:color="auto" w:fill="DBE5F1" w:themeFill="accent1" w:themeFillTint="33"/>
          </w:tcPr>
          <w:p w14:paraId="216F284E" w14:textId="5119BF1B" w:rsidR="004436D3" w:rsidRPr="00095924" w:rsidRDefault="004436D3" w:rsidP="00246B89">
            <w:pPr>
              <w:rPr>
                <w:rFonts w:cs="Arial"/>
                <w:b/>
                <w:bCs/>
                <w:sz w:val="20"/>
              </w:rPr>
            </w:pPr>
            <w:r w:rsidRPr="00095924">
              <w:rPr>
                <w:rFonts w:cs="Arial"/>
                <w:b/>
                <w:bCs/>
                <w:sz w:val="20"/>
              </w:rPr>
              <w:t>Please describe what, if any, integration is requested with the Wellness vendor as it relates to the $150 incentive.</w:t>
            </w:r>
          </w:p>
        </w:tc>
        <w:tc>
          <w:tcPr>
            <w:tcW w:w="5490" w:type="dxa"/>
            <w:shd w:val="clear" w:color="auto" w:fill="DBE5F1" w:themeFill="accent1" w:themeFillTint="33"/>
          </w:tcPr>
          <w:p w14:paraId="5B2C8D3C" w14:textId="2516FA0D" w:rsidR="004436D3" w:rsidRDefault="004436D3" w:rsidP="00246B89">
            <w:pPr>
              <w:spacing w:after="160"/>
              <w:rPr>
                <w:rFonts w:cs="Arial"/>
                <w:b/>
                <w:bCs/>
                <w:sz w:val="20"/>
              </w:rPr>
            </w:pPr>
            <w:r>
              <w:rPr>
                <w:rFonts w:cs="Arial"/>
                <w:b/>
                <w:bCs/>
                <w:sz w:val="20"/>
              </w:rPr>
              <w:t xml:space="preserve">The wellness program is embedded in the health program. The current $150 wellness incentive </w:t>
            </w:r>
            <w:r w:rsidR="001147BB">
              <w:rPr>
                <w:rFonts w:cs="Arial"/>
                <w:b/>
                <w:bCs/>
                <w:sz w:val="20"/>
              </w:rPr>
              <w:t xml:space="preserve">may </w:t>
            </w:r>
            <w:r>
              <w:rPr>
                <w:rFonts w:cs="Arial"/>
                <w:b/>
                <w:bCs/>
                <w:sz w:val="20"/>
              </w:rPr>
              <w:t xml:space="preserve">transition to a health premium differential after the IAS is implemented. </w:t>
            </w:r>
            <w:r w:rsidR="001147BB">
              <w:rPr>
                <w:rFonts w:cs="Arial"/>
                <w:b/>
                <w:bCs/>
                <w:sz w:val="20"/>
              </w:rPr>
              <w:t>If approved, t</w:t>
            </w:r>
            <w:r>
              <w:rPr>
                <w:rFonts w:cs="Arial"/>
                <w:b/>
                <w:bCs/>
                <w:sz w:val="20"/>
              </w:rPr>
              <w:t xml:space="preserve">his transition will likely take 1-3 years to expand and implement for all employee types. </w:t>
            </w:r>
          </w:p>
          <w:p w14:paraId="4069FC25" w14:textId="77C1EA16" w:rsidR="004436D3" w:rsidRPr="00095924" w:rsidRDefault="004436D3" w:rsidP="00246B89">
            <w:pPr>
              <w:spacing w:after="160"/>
              <w:rPr>
                <w:rFonts w:cs="Arial"/>
                <w:b/>
                <w:bCs/>
                <w:sz w:val="20"/>
              </w:rPr>
            </w:pPr>
            <w:r>
              <w:rPr>
                <w:rFonts w:cs="Arial"/>
                <w:b/>
                <w:bCs/>
                <w:sz w:val="20"/>
              </w:rPr>
              <w:lastRenderedPageBreak/>
              <w:t xml:space="preserve">The IAS will need to capture pertinent information regarding the incentive. As the incentive transitions to a premium differential, the IAS </w:t>
            </w:r>
            <w:r w:rsidR="001147BB">
              <w:rPr>
                <w:rFonts w:cs="Arial"/>
                <w:b/>
                <w:bCs/>
                <w:sz w:val="20"/>
              </w:rPr>
              <w:t>would</w:t>
            </w:r>
            <w:r>
              <w:rPr>
                <w:rFonts w:cs="Arial"/>
                <w:b/>
                <w:bCs/>
                <w:sz w:val="20"/>
              </w:rPr>
              <w:t xml:space="preserve"> need to appropriately incorporate the differential in premium calculations and invoices. Since the transition from incentive to differential </w:t>
            </w:r>
            <w:r w:rsidR="001147BB">
              <w:rPr>
                <w:rFonts w:cs="Arial"/>
                <w:b/>
                <w:bCs/>
                <w:sz w:val="20"/>
              </w:rPr>
              <w:t>would</w:t>
            </w:r>
            <w:r>
              <w:rPr>
                <w:rFonts w:cs="Arial"/>
                <w:b/>
                <w:bCs/>
                <w:sz w:val="20"/>
              </w:rPr>
              <w:t xml:space="preserve"> occur over an extended period, the IAS will need to be flexible enough to simultaneously manage both processes for different groups of employees. All incentive and differential data will need to be integrated between ETF and the wellness vendor.  </w:t>
            </w:r>
          </w:p>
        </w:tc>
      </w:tr>
      <w:tr w:rsidR="004436D3" w:rsidRPr="00A71D6C" w14:paraId="244E856D" w14:textId="77777777" w:rsidTr="00AC3150">
        <w:tc>
          <w:tcPr>
            <w:tcW w:w="720" w:type="dxa"/>
            <w:shd w:val="clear" w:color="auto" w:fill="EEECE1" w:themeFill="background2"/>
          </w:tcPr>
          <w:p w14:paraId="1D06CAD5" w14:textId="215D054E" w:rsidR="004436D3" w:rsidRPr="00A71D6C" w:rsidRDefault="004436D3" w:rsidP="00246B89">
            <w:pPr>
              <w:spacing w:after="160"/>
              <w:jc w:val="both"/>
              <w:rPr>
                <w:rFonts w:eastAsia="Calibri" w:cs="Arial"/>
                <w:b/>
                <w:bCs/>
                <w:sz w:val="20"/>
              </w:rPr>
            </w:pPr>
            <w:bookmarkStart w:id="44" w:name="_Hlk36016799"/>
            <w:r w:rsidRPr="00A71D6C">
              <w:rPr>
                <w:rFonts w:eastAsia="Calibri" w:cs="Arial"/>
                <w:b/>
                <w:bCs/>
                <w:sz w:val="20"/>
              </w:rPr>
              <w:lastRenderedPageBreak/>
              <w:t>Q100</w:t>
            </w:r>
          </w:p>
        </w:tc>
        <w:tc>
          <w:tcPr>
            <w:tcW w:w="1710" w:type="dxa"/>
            <w:shd w:val="clear" w:color="auto" w:fill="EEECE1" w:themeFill="background2"/>
          </w:tcPr>
          <w:p w14:paraId="28A01AA2" w14:textId="2BC25617" w:rsidR="004436D3" w:rsidRPr="00A71D6C" w:rsidRDefault="004436D3" w:rsidP="00246B89">
            <w:pPr>
              <w:spacing w:before="120" w:after="120"/>
              <w:rPr>
                <w:rFonts w:cs="Arial"/>
                <w:b/>
                <w:bCs/>
                <w:sz w:val="20"/>
              </w:rPr>
            </w:pPr>
            <w:r w:rsidRPr="00A71D6C">
              <w:rPr>
                <w:rFonts w:cs="Arial"/>
                <w:b/>
                <w:bCs/>
                <w:sz w:val="20"/>
              </w:rPr>
              <w:t>Website</w:t>
            </w:r>
          </w:p>
        </w:tc>
        <w:tc>
          <w:tcPr>
            <w:tcW w:w="1710" w:type="dxa"/>
            <w:shd w:val="clear" w:color="auto" w:fill="EEECE1" w:themeFill="background2"/>
          </w:tcPr>
          <w:p w14:paraId="212A76BF" w14:textId="6CC757F5" w:rsidR="004436D3" w:rsidRPr="00A71D6C" w:rsidRDefault="004436D3" w:rsidP="00246B89">
            <w:pPr>
              <w:spacing w:after="160"/>
              <w:jc w:val="both"/>
              <w:rPr>
                <w:rFonts w:cs="Arial"/>
                <w:b/>
                <w:bCs/>
                <w:sz w:val="20"/>
              </w:rPr>
            </w:pPr>
            <w:r w:rsidRPr="00A71D6C">
              <w:rPr>
                <w:rFonts w:cs="Arial"/>
                <w:b/>
                <w:bCs/>
                <w:sz w:val="20"/>
              </w:rPr>
              <w:t>1001 Coverage Requirements to Continue</w:t>
            </w:r>
          </w:p>
        </w:tc>
        <w:tc>
          <w:tcPr>
            <w:tcW w:w="3420" w:type="dxa"/>
            <w:shd w:val="clear" w:color="auto" w:fill="EEECE1" w:themeFill="background2"/>
          </w:tcPr>
          <w:p w14:paraId="751A3235" w14:textId="086764D8" w:rsidR="004436D3" w:rsidRPr="00A71D6C" w:rsidRDefault="004436D3" w:rsidP="00246B89">
            <w:pPr>
              <w:rPr>
                <w:rFonts w:cs="Arial"/>
                <w:b/>
                <w:bCs/>
                <w:sz w:val="20"/>
              </w:rPr>
            </w:pPr>
            <w:r w:rsidRPr="00A71D6C">
              <w:rPr>
                <w:rFonts w:cs="Arial"/>
                <w:b/>
                <w:bCs/>
                <w:sz w:val="20"/>
              </w:rPr>
              <w:t>It appears current state Medicare enrollment information is supplied to ETF via a copy of the individual's Medicare Card and/or through the VDSA. Confirm if this process is expected to continue future state or if are you seeking additional support from the future state Benefits Administration partner (believe at a minimum VDSA support to transition).</w:t>
            </w:r>
          </w:p>
        </w:tc>
        <w:tc>
          <w:tcPr>
            <w:tcW w:w="5490" w:type="dxa"/>
            <w:shd w:val="clear" w:color="auto" w:fill="EEECE1" w:themeFill="background2"/>
          </w:tcPr>
          <w:p w14:paraId="40A85DA7" w14:textId="092740E9" w:rsidR="004436D3" w:rsidRPr="00A71D6C" w:rsidRDefault="004436D3" w:rsidP="00246B89">
            <w:pPr>
              <w:spacing w:after="160"/>
              <w:rPr>
                <w:b/>
                <w:bCs/>
                <w:color w:val="000000"/>
                <w:sz w:val="20"/>
              </w:rPr>
            </w:pPr>
            <w:r w:rsidRPr="00A71D6C">
              <w:rPr>
                <w:b/>
                <w:bCs/>
                <w:color w:val="000000"/>
                <w:sz w:val="20"/>
              </w:rPr>
              <w:t>Yes, current state Medicare enrollment relies on ETF receiving Medicare information from one or more possible sources, such as:</w:t>
            </w:r>
          </w:p>
          <w:p w14:paraId="392C3703" w14:textId="77777777" w:rsidR="004436D3" w:rsidRPr="00A71D6C" w:rsidRDefault="004436D3" w:rsidP="00DB43D0">
            <w:pPr>
              <w:pStyle w:val="ListParagraph"/>
              <w:numPr>
                <w:ilvl w:val="0"/>
                <w:numId w:val="45"/>
              </w:numPr>
              <w:spacing w:after="160"/>
              <w:ind w:left="340"/>
              <w:rPr>
                <w:b/>
                <w:bCs/>
                <w:color w:val="000000"/>
                <w:sz w:val="20"/>
              </w:rPr>
            </w:pPr>
            <w:r w:rsidRPr="00A71D6C">
              <w:rPr>
                <w:b/>
                <w:bCs/>
                <w:color w:val="000000"/>
                <w:sz w:val="20"/>
              </w:rPr>
              <w:t>Copy of an individual’s Medicare card</w:t>
            </w:r>
          </w:p>
          <w:p w14:paraId="08166DAE" w14:textId="77777777" w:rsidR="004436D3" w:rsidRPr="00A71D6C" w:rsidRDefault="004436D3" w:rsidP="00DB43D0">
            <w:pPr>
              <w:pStyle w:val="ListParagraph"/>
              <w:numPr>
                <w:ilvl w:val="0"/>
                <w:numId w:val="45"/>
              </w:numPr>
              <w:spacing w:after="160"/>
              <w:ind w:left="340"/>
              <w:rPr>
                <w:b/>
                <w:bCs/>
                <w:color w:val="000000"/>
                <w:sz w:val="20"/>
              </w:rPr>
            </w:pPr>
            <w:r w:rsidRPr="00A71D6C">
              <w:rPr>
                <w:b/>
                <w:bCs/>
                <w:color w:val="000000"/>
                <w:sz w:val="20"/>
              </w:rPr>
              <w:t>Data received from:</w:t>
            </w:r>
          </w:p>
          <w:p w14:paraId="3E9525D3" w14:textId="77777777" w:rsidR="004436D3" w:rsidRPr="00A71D6C" w:rsidRDefault="004436D3" w:rsidP="00DB43D0">
            <w:pPr>
              <w:pStyle w:val="ListParagraph"/>
              <w:numPr>
                <w:ilvl w:val="0"/>
                <w:numId w:val="45"/>
              </w:numPr>
              <w:spacing w:after="160"/>
              <w:ind w:left="340"/>
              <w:rPr>
                <w:b/>
                <w:bCs/>
                <w:color w:val="000000"/>
                <w:sz w:val="20"/>
              </w:rPr>
            </w:pPr>
            <w:r w:rsidRPr="00A71D6C">
              <w:rPr>
                <w:b/>
                <w:bCs/>
                <w:color w:val="000000"/>
                <w:sz w:val="20"/>
              </w:rPr>
              <w:t>VDSA</w:t>
            </w:r>
          </w:p>
          <w:p w14:paraId="68990222" w14:textId="77777777" w:rsidR="004436D3" w:rsidRPr="00A71D6C" w:rsidRDefault="004436D3" w:rsidP="00DB43D0">
            <w:pPr>
              <w:pStyle w:val="ListParagraph"/>
              <w:numPr>
                <w:ilvl w:val="0"/>
                <w:numId w:val="45"/>
              </w:numPr>
              <w:spacing w:after="160"/>
              <w:ind w:left="340"/>
              <w:rPr>
                <w:b/>
                <w:bCs/>
                <w:color w:val="000000"/>
                <w:sz w:val="20"/>
              </w:rPr>
            </w:pPr>
            <w:r w:rsidRPr="00A71D6C">
              <w:rPr>
                <w:b/>
                <w:bCs/>
                <w:color w:val="000000"/>
                <w:sz w:val="20"/>
              </w:rPr>
              <w:t>Navitus, our current Pharmacy Benefit Manager</w:t>
            </w:r>
          </w:p>
          <w:p w14:paraId="3C414CE4" w14:textId="77777777" w:rsidR="004436D3" w:rsidRPr="00A71D6C" w:rsidRDefault="004436D3" w:rsidP="00DB43D0">
            <w:pPr>
              <w:pStyle w:val="ListParagraph"/>
              <w:numPr>
                <w:ilvl w:val="0"/>
                <w:numId w:val="45"/>
              </w:numPr>
              <w:spacing w:after="160"/>
              <w:ind w:left="340"/>
              <w:rPr>
                <w:b/>
                <w:bCs/>
                <w:color w:val="000000"/>
                <w:sz w:val="20"/>
              </w:rPr>
            </w:pPr>
            <w:r w:rsidRPr="00A71D6C">
              <w:rPr>
                <w:b/>
                <w:bCs/>
                <w:color w:val="000000"/>
                <w:sz w:val="20"/>
              </w:rPr>
              <w:t>UHC (UnitedHealthCare), our current Medicare Advantage provider</w:t>
            </w:r>
          </w:p>
          <w:p w14:paraId="31949161" w14:textId="77777777" w:rsidR="004436D3" w:rsidRPr="00A71D6C" w:rsidRDefault="004436D3" w:rsidP="00DB43D0">
            <w:pPr>
              <w:pStyle w:val="ListParagraph"/>
              <w:numPr>
                <w:ilvl w:val="0"/>
                <w:numId w:val="45"/>
              </w:numPr>
              <w:spacing w:after="160"/>
              <w:ind w:left="340"/>
              <w:rPr>
                <w:b/>
                <w:bCs/>
                <w:color w:val="000000"/>
                <w:sz w:val="20"/>
              </w:rPr>
            </w:pPr>
            <w:r w:rsidRPr="00A71D6C">
              <w:rPr>
                <w:b/>
                <w:bCs/>
                <w:color w:val="000000"/>
                <w:sz w:val="20"/>
              </w:rPr>
              <w:t>Other health plan Section 111 agreements with Medicare</w:t>
            </w:r>
          </w:p>
          <w:p w14:paraId="09051DA2" w14:textId="40F676E8" w:rsidR="004436D3" w:rsidRPr="00A71D6C" w:rsidRDefault="004436D3" w:rsidP="00DB43D0">
            <w:pPr>
              <w:spacing w:after="160"/>
              <w:rPr>
                <w:rFonts w:cs="Arial"/>
                <w:b/>
                <w:bCs/>
                <w:sz w:val="20"/>
              </w:rPr>
            </w:pPr>
            <w:bookmarkStart w:id="45" w:name="_Hlk36563432"/>
            <w:r w:rsidRPr="00A71D6C">
              <w:rPr>
                <w:b/>
                <w:bCs/>
                <w:color w:val="000000"/>
                <w:sz w:val="20"/>
              </w:rPr>
              <w:t xml:space="preserve">We are interested in </w:t>
            </w:r>
            <w:r w:rsidRPr="00A71D6C">
              <w:rPr>
                <w:rFonts w:cs="Arial"/>
                <w:b/>
                <w:bCs/>
                <w:sz w:val="20"/>
              </w:rPr>
              <w:t xml:space="preserve">any capabilities the Proposer’s system may offer to streamline, enhance, automate, and effectively manage </w:t>
            </w:r>
            <w:r>
              <w:rPr>
                <w:rFonts w:cs="Arial"/>
                <w:b/>
                <w:bCs/>
                <w:sz w:val="20"/>
              </w:rPr>
              <w:t xml:space="preserve">functions related to </w:t>
            </w:r>
            <w:r w:rsidRPr="00A71D6C">
              <w:rPr>
                <w:rFonts w:cs="Arial"/>
                <w:b/>
                <w:bCs/>
                <w:sz w:val="20"/>
              </w:rPr>
              <w:t xml:space="preserve">a </w:t>
            </w:r>
            <w:r w:rsidRPr="00A71D6C">
              <w:rPr>
                <w:b/>
                <w:bCs/>
                <w:color w:val="000000"/>
                <w:sz w:val="20"/>
              </w:rPr>
              <w:t>member’s Medicare enrollment and participation.</w:t>
            </w:r>
            <w:bookmarkEnd w:id="45"/>
          </w:p>
        </w:tc>
      </w:tr>
      <w:bookmarkEnd w:id="44"/>
      <w:tr w:rsidR="004436D3" w:rsidRPr="007C4AB5" w14:paraId="49C5251B" w14:textId="77777777" w:rsidTr="00AC3150">
        <w:tc>
          <w:tcPr>
            <w:tcW w:w="720" w:type="dxa"/>
            <w:shd w:val="clear" w:color="auto" w:fill="DBE5F1" w:themeFill="accent1" w:themeFillTint="33"/>
          </w:tcPr>
          <w:p w14:paraId="38F6D5C6" w14:textId="03A3C530" w:rsidR="004436D3" w:rsidRPr="007C4AB5" w:rsidRDefault="004436D3" w:rsidP="00246B89">
            <w:pPr>
              <w:spacing w:after="160"/>
              <w:jc w:val="both"/>
              <w:rPr>
                <w:rFonts w:eastAsia="Calibri" w:cs="Arial"/>
                <w:b/>
                <w:bCs/>
                <w:sz w:val="20"/>
              </w:rPr>
            </w:pPr>
            <w:r w:rsidRPr="007C4AB5">
              <w:rPr>
                <w:rFonts w:eastAsia="Calibri" w:cs="Arial"/>
                <w:b/>
                <w:bCs/>
                <w:sz w:val="20"/>
              </w:rPr>
              <w:t>Q101</w:t>
            </w:r>
          </w:p>
        </w:tc>
        <w:tc>
          <w:tcPr>
            <w:tcW w:w="1710" w:type="dxa"/>
            <w:shd w:val="clear" w:color="auto" w:fill="DBE5F1" w:themeFill="accent1" w:themeFillTint="33"/>
          </w:tcPr>
          <w:p w14:paraId="7073DFCC" w14:textId="504D58BB" w:rsidR="004436D3" w:rsidRPr="007C4AB5" w:rsidRDefault="004436D3" w:rsidP="00246B89">
            <w:pPr>
              <w:spacing w:before="120" w:after="120"/>
              <w:rPr>
                <w:rFonts w:cs="Arial"/>
                <w:b/>
                <w:bCs/>
                <w:sz w:val="20"/>
              </w:rPr>
            </w:pPr>
            <w:r w:rsidRPr="007C4AB5">
              <w:rPr>
                <w:rFonts w:cs="Arial"/>
                <w:b/>
                <w:bCs/>
                <w:sz w:val="20"/>
              </w:rPr>
              <w:t>Appendix 7 - Technical Questionnaire</w:t>
            </w:r>
          </w:p>
        </w:tc>
        <w:tc>
          <w:tcPr>
            <w:tcW w:w="1710" w:type="dxa"/>
            <w:shd w:val="clear" w:color="auto" w:fill="DBE5F1" w:themeFill="accent1" w:themeFillTint="33"/>
          </w:tcPr>
          <w:p w14:paraId="285D9144" w14:textId="461207D7" w:rsidR="004436D3" w:rsidRPr="007C4AB5" w:rsidRDefault="004436D3" w:rsidP="00246B89">
            <w:pPr>
              <w:spacing w:after="160"/>
              <w:jc w:val="both"/>
              <w:rPr>
                <w:rFonts w:cs="Arial"/>
                <w:b/>
                <w:bCs/>
                <w:sz w:val="20"/>
              </w:rPr>
            </w:pPr>
            <w:r w:rsidRPr="007C4AB5">
              <w:rPr>
                <w:rFonts w:cs="Arial"/>
                <w:b/>
                <w:bCs/>
                <w:sz w:val="20"/>
              </w:rPr>
              <w:t>Communications Management and Content On Demand (10)</w:t>
            </w:r>
          </w:p>
        </w:tc>
        <w:tc>
          <w:tcPr>
            <w:tcW w:w="3420" w:type="dxa"/>
            <w:shd w:val="clear" w:color="auto" w:fill="DBE5F1" w:themeFill="accent1" w:themeFillTint="33"/>
          </w:tcPr>
          <w:p w14:paraId="289AB6CB" w14:textId="7F22A6C9" w:rsidR="004436D3" w:rsidRPr="007C4AB5" w:rsidRDefault="004436D3" w:rsidP="00246B89">
            <w:pPr>
              <w:rPr>
                <w:rFonts w:cs="Arial"/>
                <w:b/>
                <w:bCs/>
                <w:sz w:val="20"/>
              </w:rPr>
            </w:pPr>
            <w:r w:rsidRPr="007C4AB5">
              <w:rPr>
                <w:rFonts w:cs="Arial"/>
                <w:b/>
                <w:bCs/>
                <w:sz w:val="20"/>
              </w:rPr>
              <w:t>Please confirm the languages you seek to include in multi-lingual communications.</w:t>
            </w:r>
          </w:p>
        </w:tc>
        <w:tc>
          <w:tcPr>
            <w:tcW w:w="5490" w:type="dxa"/>
            <w:shd w:val="clear" w:color="auto" w:fill="DBE5F1" w:themeFill="accent1" w:themeFillTint="33"/>
          </w:tcPr>
          <w:p w14:paraId="52636276" w14:textId="4B859592" w:rsidR="004436D3" w:rsidRPr="00143C3C" w:rsidRDefault="004436D3" w:rsidP="00143C3C">
            <w:pPr>
              <w:spacing w:before="120" w:after="120"/>
              <w:rPr>
                <w:rFonts w:cs="Arial"/>
                <w:b/>
                <w:bCs/>
                <w:sz w:val="20"/>
              </w:rPr>
            </w:pPr>
            <w:r>
              <w:rPr>
                <w:rFonts w:cs="Arial"/>
                <w:b/>
                <w:bCs/>
                <w:sz w:val="20"/>
              </w:rPr>
              <w:t>See response to question Q1 above.</w:t>
            </w:r>
          </w:p>
        </w:tc>
      </w:tr>
      <w:tr w:rsidR="004436D3" w:rsidRPr="00DC5845" w14:paraId="5963A1B1" w14:textId="77777777" w:rsidTr="00AC3150">
        <w:tc>
          <w:tcPr>
            <w:tcW w:w="720" w:type="dxa"/>
            <w:shd w:val="clear" w:color="auto" w:fill="EEECE1" w:themeFill="background2"/>
          </w:tcPr>
          <w:p w14:paraId="6B9ABED4" w14:textId="4F0B6BD8" w:rsidR="004436D3" w:rsidRPr="00DC5845" w:rsidRDefault="004436D3" w:rsidP="00246B89">
            <w:pPr>
              <w:spacing w:after="160"/>
              <w:jc w:val="both"/>
              <w:rPr>
                <w:rFonts w:eastAsia="Calibri" w:cs="Arial"/>
                <w:b/>
                <w:bCs/>
                <w:sz w:val="20"/>
              </w:rPr>
            </w:pPr>
            <w:r w:rsidRPr="00DC5845">
              <w:rPr>
                <w:rFonts w:eastAsia="Calibri" w:cs="Arial"/>
                <w:b/>
                <w:bCs/>
                <w:sz w:val="20"/>
              </w:rPr>
              <w:lastRenderedPageBreak/>
              <w:t>Q102</w:t>
            </w:r>
          </w:p>
        </w:tc>
        <w:tc>
          <w:tcPr>
            <w:tcW w:w="1710" w:type="dxa"/>
            <w:shd w:val="clear" w:color="auto" w:fill="EEECE1" w:themeFill="background2"/>
          </w:tcPr>
          <w:p w14:paraId="2A97C72C" w14:textId="25BFF2CF" w:rsidR="004436D3" w:rsidRPr="00DC5845" w:rsidRDefault="004436D3" w:rsidP="00246B89">
            <w:pPr>
              <w:spacing w:before="120" w:after="120"/>
              <w:rPr>
                <w:rFonts w:cs="Arial"/>
                <w:b/>
                <w:bCs/>
                <w:sz w:val="20"/>
              </w:rPr>
            </w:pPr>
            <w:r w:rsidRPr="00DC5845">
              <w:rPr>
                <w:rFonts w:cs="Arial"/>
                <w:b/>
                <w:bCs/>
                <w:sz w:val="20"/>
              </w:rPr>
              <w:t>Appendix 7 - Technical Questionnaire</w:t>
            </w:r>
          </w:p>
        </w:tc>
        <w:tc>
          <w:tcPr>
            <w:tcW w:w="1710" w:type="dxa"/>
            <w:shd w:val="clear" w:color="auto" w:fill="EEECE1" w:themeFill="background2"/>
          </w:tcPr>
          <w:p w14:paraId="1BC0BC14" w14:textId="031554BC" w:rsidR="004436D3" w:rsidRPr="00DC5845" w:rsidRDefault="004436D3" w:rsidP="00246B89">
            <w:pPr>
              <w:spacing w:after="160"/>
              <w:jc w:val="both"/>
              <w:rPr>
                <w:rFonts w:cs="Arial"/>
                <w:b/>
                <w:bCs/>
                <w:sz w:val="20"/>
              </w:rPr>
            </w:pPr>
            <w:r w:rsidRPr="00DC5845">
              <w:rPr>
                <w:rFonts w:cs="Arial"/>
                <w:b/>
                <w:bCs/>
                <w:sz w:val="20"/>
              </w:rPr>
              <w:t>Communications Management and Content On Demand (10)</w:t>
            </w:r>
          </w:p>
        </w:tc>
        <w:tc>
          <w:tcPr>
            <w:tcW w:w="3420" w:type="dxa"/>
            <w:shd w:val="clear" w:color="auto" w:fill="EEECE1" w:themeFill="background2"/>
          </w:tcPr>
          <w:p w14:paraId="4BFBFD9E" w14:textId="302A8DF1" w:rsidR="004436D3" w:rsidRPr="00DC5845" w:rsidRDefault="004436D3" w:rsidP="00246B89">
            <w:pPr>
              <w:rPr>
                <w:rFonts w:cs="Arial"/>
                <w:b/>
                <w:bCs/>
                <w:sz w:val="20"/>
              </w:rPr>
            </w:pPr>
            <w:r w:rsidRPr="00DC5845">
              <w:rPr>
                <w:rFonts w:cs="Arial"/>
                <w:b/>
                <w:bCs/>
                <w:sz w:val="20"/>
              </w:rPr>
              <w:t>Please describe the paper forms currently leveraged.</w:t>
            </w:r>
          </w:p>
        </w:tc>
        <w:tc>
          <w:tcPr>
            <w:tcW w:w="5490" w:type="dxa"/>
            <w:shd w:val="clear" w:color="auto" w:fill="EEECE1" w:themeFill="background2"/>
          </w:tcPr>
          <w:p w14:paraId="1D3D72A3" w14:textId="3975B5D2" w:rsidR="004436D3" w:rsidRPr="00DC5845" w:rsidRDefault="004436D3" w:rsidP="00246B89">
            <w:pPr>
              <w:spacing w:after="160"/>
              <w:rPr>
                <w:rFonts w:cs="Arial"/>
                <w:b/>
                <w:bCs/>
                <w:sz w:val="20"/>
              </w:rPr>
            </w:pPr>
            <w:r w:rsidRPr="00DC5845">
              <w:rPr>
                <w:rFonts w:cs="Arial"/>
                <w:b/>
                <w:bCs/>
                <w:sz w:val="20"/>
              </w:rPr>
              <w:t xml:space="preserve">All insurance-related forms (e.g., application, beneficiary designation, coverage notifications, etc.) are within the scope of this RFP. </w:t>
            </w:r>
          </w:p>
        </w:tc>
      </w:tr>
      <w:tr w:rsidR="004436D3" w:rsidRPr="008E47AE" w14:paraId="2AD6EEF4" w14:textId="77777777" w:rsidTr="00AC3150">
        <w:tc>
          <w:tcPr>
            <w:tcW w:w="720" w:type="dxa"/>
            <w:shd w:val="clear" w:color="auto" w:fill="DBE5F1" w:themeFill="accent1" w:themeFillTint="33"/>
          </w:tcPr>
          <w:p w14:paraId="7BA59488" w14:textId="3C80ED57" w:rsidR="004436D3" w:rsidRPr="008E47AE" w:rsidRDefault="004436D3" w:rsidP="00246B89">
            <w:pPr>
              <w:spacing w:after="160"/>
              <w:jc w:val="both"/>
              <w:rPr>
                <w:rFonts w:eastAsia="Calibri" w:cs="Arial"/>
                <w:b/>
                <w:bCs/>
                <w:sz w:val="20"/>
              </w:rPr>
            </w:pPr>
            <w:bookmarkStart w:id="46" w:name="_Hlk36016818"/>
            <w:r w:rsidRPr="008E47AE">
              <w:rPr>
                <w:rFonts w:eastAsia="Calibri" w:cs="Arial"/>
                <w:b/>
                <w:bCs/>
                <w:sz w:val="20"/>
              </w:rPr>
              <w:t>Q103</w:t>
            </w:r>
          </w:p>
        </w:tc>
        <w:tc>
          <w:tcPr>
            <w:tcW w:w="1710" w:type="dxa"/>
            <w:shd w:val="clear" w:color="auto" w:fill="DBE5F1" w:themeFill="accent1" w:themeFillTint="33"/>
          </w:tcPr>
          <w:p w14:paraId="1A402A68" w14:textId="171D3F1B" w:rsidR="004436D3" w:rsidRPr="008E47AE" w:rsidRDefault="004436D3" w:rsidP="00246B89">
            <w:pPr>
              <w:spacing w:before="120" w:after="120"/>
              <w:rPr>
                <w:rFonts w:cs="Arial"/>
                <w:b/>
                <w:bCs/>
                <w:sz w:val="20"/>
              </w:rPr>
            </w:pPr>
            <w:r w:rsidRPr="008E47AE">
              <w:rPr>
                <w:rFonts w:cs="Arial"/>
                <w:b/>
                <w:bCs/>
                <w:sz w:val="20"/>
              </w:rPr>
              <w:t>Appendix 7 - Technical Questionnaire</w:t>
            </w:r>
          </w:p>
        </w:tc>
        <w:tc>
          <w:tcPr>
            <w:tcW w:w="1710" w:type="dxa"/>
            <w:shd w:val="clear" w:color="auto" w:fill="DBE5F1" w:themeFill="accent1" w:themeFillTint="33"/>
          </w:tcPr>
          <w:p w14:paraId="2AA79B25" w14:textId="250EE625" w:rsidR="004436D3" w:rsidRPr="008E47AE" w:rsidRDefault="004436D3" w:rsidP="00246B89">
            <w:pPr>
              <w:spacing w:after="160"/>
              <w:jc w:val="both"/>
              <w:rPr>
                <w:rFonts w:cs="Arial"/>
                <w:b/>
                <w:bCs/>
                <w:sz w:val="20"/>
              </w:rPr>
            </w:pPr>
            <w:r w:rsidRPr="008E47AE">
              <w:rPr>
                <w:rFonts w:cs="Arial"/>
                <w:b/>
                <w:bCs/>
                <w:sz w:val="20"/>
              </w:rPr>
              <w:t>Employer Reporting and Payroll Deductions (#32)</w:t>
            </w:r>
          </w:p>
        </w:tc>
        <w:tc>
          <w:tcPr>
            <w:tcW w:w="3420" w:type="dxa"/>
            <w:shd w:val="clear" w:color="auto" w:fill="DBE5F1" w:themeFill="accent1" w:themeFillTint="33"/>
          </w:tcPr>
          <w:p w14:paraId="7AF7993A" w14:textId="79B85E74" w:rsidR="004436D3" w:rsidRPr="008E47AE" w:rsidRDefault="004436D3" w:rsidP="00246B89">
            <w:pPr>
              <w:rPr>
                <w:rFonts w:cs="Arial"/>
                <w:b/>
                <w:bCs/>
                <w:sz w:val="20"/>
              </w:rPr>
            </w:pPr>
            <w:r w:rsidRPr="008E47AE">
              <w:rPr>
                <w:rFonts w:cs="Arial"/>
                <w:b/>
                <w:bCs/>
                <w:sz w:val="20"/>
              </w:rPr>
              <w:t>Please describe the third-party systems to which payroll premium deduction information is to be provided (noted data to ETF or third-party systems).</w:t>
            </w:r>
          </w:p>
        </w:tc>
        <w:tc>
          <w:tcPr>
            <w:tcW w:w="5490" w:type="dxa"/>
            <w:shd w:val="clear" w:color="auto" w:fill="DBE5F1" w:themeFill="accent1" w:themeFillTint="33"/>
          </w:tcPr>
          <w:p w14:paraId="07BE4E85" w14:textId="2081BBE0" w:rsidR="004436D3" w:rsidRPr="008E47AE" w:rsidRDefault="004436D3" w:rsidP="00246B89">
            <w:pPr>
              <w:spacing w:after="160"/>
              <w:rPr>
                <w:rFonts w:cs="Arial"/>
                <w:b/>
                <w:bCs/>
                <w:sz w:val="20"/>
              </w:rPr>
            </w:pPr>
            <w:r>
              <w:rPr>
                <w:b/>
                <w:bCs/>
                <w:color w:val="000000"/>
                <w:sz w:val="20"/>
              </w:rPr>
              <w:t>ETF</w:t>
            </w:r>
            <w:r w:rsidRPr="00630232">
              <w:rPr>
                <w:b/>
                <w:bCs/>
                <w:color w:val="000000"/>
                <w:sz w:val="20"/>
              </w:rPr>
              <w:t xml:space="preserve"> envision</w:t>
            </w:r>
            <w:r>
              <w:rPr>
                <w:b/>
                <w:bCs/>
                <w:color w:val="000000"/>
                <w:sz w:val="20"/>
              </w:rPr>
              <w:t>s</w:t>
            </w:r>
            <w:r w:rsidRPr="00630232">
              <w:rPr>
                <w:b/>
                <w:bCs/>
                <w:color w:val="000000"/>
                <w:sz w:val="20"/>
              </w:rPr>
              <w:t xml:space="preserve"> that all </w:t>
            </w:r>
            <w:r>
              <w:rPr>
                <w:b/>
                <w:bCs/>
                <w:color w:val="000000"/>
                <w:sz w:val="20"/>
              </w:rPr>
              <w:t xml:space="preserve">future insurance </w:t>
            </w:r>
            <w:r w:rsidRPr="00630232">
              <w:rPr>
                <w:b/>
                <w:bCs/>
                <w:color w:val="000000"/>
                <w:sz w:val="20"/>
              </w:rPr>
              <w:t xml:space="preserve">enrollment will occur within the </w:t>
            </w:r>
            <w:r>
              <w:rPr>
                <w:b/>
                <w:bCs/>
                <w:color w:val="000000"/>
                <w:sz w:val="20"/>
              </w:rPr>
              <w:t xml:space="preserve">new </w:t>
            </w:r>
            <w:r w:rsidRPr="00630232">
              <w:rPr>
                <w:b/>
                <w:bCs/>
                <w:color w:val="000000"/>
                <w:sz w:val="20"/>
              </w:rPr>
              <w:t>IAS. Enrollment and payroll deduction data will need to interface back to employers</w:t>
            </w:r>
            <w:r>
              <w:rPr>
                <w:b/>
                <w:bCs/>
                <w:color w:val="000000"/>
                <w:sz w:val="20"/>
              </w:rPr>
              <w:t xml:space="preserve"> for upload/processing in their payroll systems. In addition, this enrollment and payroll deduction data will need to interface to ETF’s current annuity payroll system, and ultimately, to a new pension administration system</w:t>
            </w:r>
            <w:r w:rsidRPr="00630232">
              <w:rPr>
                <w:b/>
                <w:bCs/>
                <w:color w:val="000000"/>
                <w:sz w:val="20"/>
              </w:rPr>
              <w:t xml:space="preserve"> </w:t>
            </w:r>
          </w:p>
        </w:tc>
      </w:tr>
      <w:tr w:rsidR="004436D3" w:rsidRPr="00D93114" w14:paraId="15F5689B" w14:textId="77777777" w:rsidTr="00AC3150">
        <w:tc>
          <w:tcPr>
            <w:tcW w:w="720" w:type="dxa"/>
            <w:shd w:val="clear" w:color="auto" w:fill="EEECE1" w:themeFill="background2"/>
          </w:tcPr>
          <w:p w14:paraId="03A36DCE" w14:textId="578AE4B2" w:rsidR="004436D3" w:rsidRPr="00D93114" w:rsidRDefault="004436D3" w:rsidP="00246B89">
            <w:pPr>
              <w:spacing w:after="160"/>
              <w:jc w:val="both"/>
              <w:rPr>
                <w:rFonts w:eastAsia="Calibri" w:cs="Arial"/>
                <w:b/>
                <w:bCs/>
                <w:sz w:val="20"/>
              </w:rPr>
            </w:pPr>
            <w:bookmarkStart w:id="47" w:name="_Hlk36016839"/>
            <w:bookmarkEnd w:id="46"/>
            <w:r w:rsidRPr="00D93114">
              <w:rPr>
                <w:rFonts w:eastAsia="Calibri" w:cs="Arial"/>
                <w:b/>
                <w:bCs/>
                <w:sz w:val="20"/>
              </w:rPr>
              <w:t>Q104</w:t>
            </w:r>
          </w:p>
        </w:tc>
        <w:tc>
          <w:tcPr>
            <w:tcW w:w="1710" w:type="dxa"/>
            <w:shd w:val="clear" w:color="auto" w:fill="EEECE1" w:themeFill="background2"/>
          </w:tcPr>
          <w:p w14:paraId="2FB81F40" w14:textId="6BB7C8AB" w:rsidR="004436D3" w:rsidRPr="00D93114" w:rsidRDefault="004436D3" w:rsidP="00246B89">
            <w:pPr>
              <w:spacing w:before="120" w:after="120"/>
              <w:rPr>
                <w:rFonts w:cs="Arial"/>
                <w:b/>
                <w:bCs/>
                <w:sz w:val="20"/>
              </w:rPr>
            </w:pPr>
            <w:r w:rsidRPr="00D93114">
              <w:rPr>
                <w:rFonts w:cs="Arial"/>
                <w:b/>
                <w:bCs/>
                <w:sz w:val="20"/>
              </w:rPr>
              <w:t>Appendix 7 - Technical Questionnaire</w:t>
            </w:r>
          </w:p>
        </w:tc>
        <w:tc>
          <w:tcPr>
            <w:tcW w:w="1710" w:type="dxa"/>
            <w:shd w:val="clear" w:color="auto" w:fill="EEECE1" w:themeFill="background2"/>
          </w:tcPr>
          <w:p w14:paraId="4593A28E" w14:textId="44C5D592" w:rsidR="004436D3" w:rsidRPr="00D93114" w:rsidRDefault="004436D3" w:rsidP="00246B89">
            <w:pPr>
              <w:spacing w:after="160"/>
              <w:jc w:val="both"/>
              <w:rPr>
                <w:rFonts w:cs="Arial"/>
                <w:b/>
                <w:bCs/>
                <w:sz w:val="20"/>
              </w:rPr>
            </w:pPr>
            <w:r w:rsidRPr="00D93114">
              <w:rPr>
                <w:rFonts w:cs="Arial"/>
                <w:b/>
                <w:bCs/>
                <w:sz w:val="20"/>
              </w:rPr>
              <w:t>Eligibility and Enrollment (#34)</w:t>
            </w:r>
          </w:p>
        </w:tc>
        <w:tc>
          <w:tcPr>
            <w:tcW w:w="3420" w:type="dxa"/>
            <w:shd w:val="clear" w:color="auto" w:fill="EEECE1" w:themeFill="background2"/>
          </w:tcPr>
          <w:p w14:paraId="4BD0064A" w14:textId="1D6C0EFE" w:rsidR="004436D3" w:rsidRPr="00D93114" w:rsidRDefault="004436D3" w:rsidP="00246B89">
            <w:pPr>
              <w:rPr>
                <w:rFonts w:cs="Arial"/>
                <w:b/>
                <w:bCs/>
                <w:sz w:val="20"/>
              </w:rPr>
            </w:pPr>
            <w:r w:rsidRPr="00D93114">
              <w:rPr>
                <w:rFonts w:cs="Arial"/>
                <w:b/>
                <w:bCs/>
                <w:sz w:val="20"/>
              </w:rPr>
              <w:t>Please describe the "coordination of benefits" support requested as it related to Eligibility and Enrollment services.</w:t>
            </w:r>
          </w:p>
        </w:tc>
        <w:tc>
          <w:tcPr>
            <w:tcW w:w="5490" w:type="dxa"/>
            <w:shd w:val="clear" w:color="auto" w:fill="EEECE1" w:themeFill="background2"/>
          </w:tcPr>
          <w:p w14:paraId="5314B6E8" w14:textId="04883912" w:rsidR="004436D3" w:rsidRPr="00D93114" w:rsidRDefault="004436D3" w:rsidP="00246B89">
            <w:pPr>
              <w:spacing w:after="160"/>
              <w:rPr>
                <w:b/>
                <w:bCs/>
                <w:color w:val="000000"/>
                <w:sz w:val="20"/>
              </w:rPr>
            </w:pPr>
            <w:r w:rsidRPr="00D93114">
              <w:rPr>
                <w:b/>
                <w:bCs/>
                <w:color w:val="000000"/>
                <w:sz w:val="20"/>
              </w:rPr>
              <w:t xml:space="preserve">Currently, ETF relies on our various insurance plan vendors to individually track and share information related to coordination of benefits, other insurance coverage that members may have, whether the ETF plan is the primary or secondary payer, etc. </w:t>
            </w:r>
          </w:p>
          <w:p w14:paraId="068E2385" w14:textId="7C874FB9" w:rsidR="004436D3" w:rsidRPr="00D93114" w:rsidRDefault="004436D3" w:rsidP="00246B89">
            <w:pPr>
              <w:spacing w:after="160"/>
              <w:rPr>
                <w:b/>
                <w:bCs/>
                <w:color w:val="000000"/>
                <w:sz w:val="20"/>
              </w:rPr>
            </w:pPr>
            <w:r w:rsidRPr="00D93114">
              <w:rPr>
                <w:b/>
                <w:bCs/>
                <w:color w:val="000000"/>
                <w:sz w:val="20"/>
              </w:rPr>
              <w:t xml:space="preserve">We are interested in </w:t>
            </w:r>
            <w:r w:rsidRPr="00D93114">
              <w:rPr>
                <w:rFonts w:cs="Arial"/>
                <w:b/>
                <w:bCs/>
                <w:sz w:val="20"/>
              </w:rPr>
              <w:t xml:space="preserve">any capabilities the Proposer’s system may offer to streamline, enhance, automate, and more effectively manage such functions related to coordination of benefits for members with other insurance coverage. </w:t>
            </w:r>
          </w:p>
        </w:tc>
      </w:tr>
      <w:bookmarkEnd w:id="47"/>
      <w:tr w:rsidR="004436D3" w:rsidRPr="00F7121D" w14:paraId="6247C6B9" w14:textId="77777777" w:rsidTr="00AC3150">
        <w:tc>
          <w:tcPr>
            <w:tcW w:w="720" w:type="dxa"/>
            <w:shd w:val="clear" w:color="auto" w:fill="DBE5F1" w:themeFill="accent1" w:themeFillTint="33"/>
          </w:tcPr>
          <w:p w14:paraId="5FF81B07" w14:textId="6C14D2B6" w:rsidR="004436D3" w:rsidRPr="00F7121D" w:rsidRDefault="004436D3" w:rsidP="002D7075">
            <w:pPr>
              <w:spacing w:after="160"/>
              <w:jc w:val="both"/>
              <w:rPr>
                <w:rFonts w:eastAsia="Calibri" w:cs="Arial"/>
                <w:b/>
                <w:bCs/>
                <w:sz w:val="20"/>
              </w:rPr>
            </w:pPr>
            <w:r w:rsidRPr="00F7121D">
              <w:rPr>
                <w:rFonts w:eastAsia="Calibri" w:cs="Arial"/>
                <w:b/>
                <w:bCs/>
                <w:sz w:val="20"/>
              </w:rPr>
              <w:t>Q105</w:t>
            </w:r>
          </w:p>
        </w:tc>
        <w:tc>
          <w:tcPr>
            <w:tcW w:w="1710" w:type="dxa"/>
            <w:shd w:val="clear" w:color="auto" w:fill="DBE5F1" w:themeFill="accent1" w:themeFillTint="33"/>
          </w:tcPr>
          <w:p w14:paraId="4C31CC89" w14:textId="4EFD754B" w:rsidR="004436D3" w:rsidRPr="00F7121D" w:rsidRDefault="004436D3" w:rsidP="002D7075">
            <w:pPr>
              <w:spacing w:before="120" w:after="120"/>
              <w:rPr>
                <w:rFonts w:cs="Arial"/>
                <w:b/>
                <w:bCs/>
                <w:sz w:val="20"/>
              </w:rPr>
            </w:pPr>
            <w:r w:rsidRPr="00F7121D">
              <w:rPr>
                <w:rFonts w:cs="Arial"/>
                <w:b/>
                <w:bCs/>
                <w:sz w:val="20"/>
              </w:rPr>
              <w:t>Appendix 7 - Technical Questionnaire</w:t>
            </w:r>
          </w:p>
        </w:tc>
        <w:tc>
          <w:tcPr>
            <w:tcW w:w="1710" w:type="dxa"/>
            <w:shd w:val="clear" w:color="auto" w:fill="DBE5F1" w:themeFill="accent1" w:themeFillTint="33"/>
          </w:tcPr>
          <w:p w14:paraId="2D807A50" w14:textId="18590D5B" w:rsidR="004436D3" w:rsidRPr="00F7121D" w:rsidRDefault="004436D3" w:rsidP="002D7075">
            <w:pPr>
              <w:spacing w:after="160"/>
              <w:jc w:val="both"/>
              <w:rPr>
                <w:rFonts w:cs="Arial"/>
                <w:b/>
                <w:bCs/>
                <w:sz w:val="20"/>
              </w:rPr>
            </w:pPr>
            <w:r w:rsidRPr="00F7121D">
              <w:rPr>
                <w:rFonts w:cs="Arial"/>
                <w:b/>
                <w:bCs/>
                <w:sz w:val="20"/>
              </w:rPr>
              <w:t>Eligibility and Enrollment (#34)</w:t>
            </w:r>
          </w:p>
        </w:tc>
        <w:tc>
          <w:tcPr>
            <w:tcW w:w="3420" w:type="dxa"/>
            <w:shd w:val="clear" w:color="auto" w:fill="DBE5F1" w:themeFill="accent1" w:themeFillTint="33"/>
          </w:tcPr>
          <w:p w14:paraId="34E12109" w14:textId="20CAAEB8" w:rsidR="004436D3" w:rsidRPr="00F7121D" w:rsidRDefault="004436D3" w:rsidP="002D7075">
            <w:pPr>
              <w:rPr>
                <w:rFonts w:cs="Arial"/>
                <w:b/>
                <w:bCs/>
                <w:sz w:val="20"/>
              </w:rPr>
            </w:pPr>
            <w:r w:rsidRPr="00F7121D">
              <w:rPr>
                <w:rFonts w:cs="Arial"/>
                <w:b/>
                <w:bCs/>
                <w:sz w:val="20"/>
              </w:rPr>
              <w:t>Please provide an example of "split contract" situations (e.g. separate elections for Pre/Post 65 family members).</w:t>
            </w:r>
          </w:p>
        </w:tc>
        <w:tc>
          <w:tcPr>
            <w:tcW w:w="5490" w:type="dxa"/>
            <w:shd w:val="clear" w:color="auto" w:fill="DBE5F1" w:themeFill="accent1" w:themeFillTint="33"/>
          </w:tcPr>
          <w:p w14:paraId="3BBD252B" w14:textId="6684504A" w:rsidR="004436D3" w:rsidRPr="00F7121D" w:rsidRDefault="004436D3" w:rsidP="002D7075">
            <w:pPr>
              <w:spacing w:after="160"/>
              <w:rPr>
                <w:rFonts w:cs="Arial"/>
                <w:b/>
                <w:bCs/>
                <w:sz w:val="20"/>
              </w:rPr>
            </w:pPr>
            <w:r>
              <w:rPr>
                <w:rFonts w:cs="Arial"/>
                <w:b/>
                <w:bCs/>
                <w:sz w:val="20"/>
              </w:rPr>
              <w:t>See response to question Q10 above.</w:t>
            </w:r>
          </w:p>
        </w:tc>
      </w:tr>
      <w:tr w:rsidR="004436D3" w:rsidRPr="00147CEB" w14:paraId="1C91FC2B" w14:textId="77777777" w:rsidTr="00AC3150">
        <w:tc>
          <w:tcPr>
            <w:tcW w:w="720" w:type="dxa"/>
            <w:shd w:val="clear" w:color="auto" w:fill="EEECE1" w:themeFill="background2"/>
          </w:tcPr>
          <w:p w14:paraId="441C54B3" w14:textId="25FD9F11" w:rsidR="004436D3" w:rsidRPr="00147CEB" w:rsidRDefault="004436D3" w:rsidP="002D7075">
            <w:pPr>
              <w:spacing w:after="160"/>
              <w:jc w:val="both"/>
              <w:rPr>
                <w:rFonts w:eastAsia="Calibri" w:cs="Arial"/>
                <w:b/>
                <w:bCs/>
                <w:sz w:val="20"/>
              </w:rPr>
            </w:pPr>
            <w:bookmarkStart w:id="48" w:name="_Hlk36016852"/>
            <w:r w:rsidRPr="00147CEB">
              <w:rPr>
                <w:rFonts w:eastAsia="Calibri" w:cs="Arial"/>
                <w:b/>
                <w:bCs/>
                <w:sz w:val="20"/>
              </w:rPr>
              <w:t>Q106</w:t>
            </w:r>
          </w:p>
        </w:tc>
        <w:tc>
          <w:tcPr>
            <w:tcW w:w="1710" w:type="dxa"/>
            <w:shd w:val="clear" w:color="auto" w:fill="EEECE1" w:themeFill="background2"/>
          </w:tcPr>
          <w:p w14:paraId="0DEA36CA" w14:textId="0628C3F4" w:rsidR="004436D3" w:rsidRPr="00147CEB" w:rsidRDefault="004436D3" w:rsidP="002D7075">
            <w:pPr>
              <w:spacing w:before="120" w:after="120"/>
              <w:rPr>
                <w:rFonts w:cs="Arial"/>
                <w:b/>
                <w:bCs/>
                <w:sz w:val="20"/>
              </w:rPr>
            </w:pPr>
            <w:r w:rsidRPr="00147CEB">
              <w:rPr>
                <w:rFonts w:cs="Arial"/>
                <w:b/>
                <w:bCs/>
                <w:sz w:val="20"/>
              </w:rPr>
              <w:t>Appendix 7 - Technical Questionnaire</w:t>
            </w:r>
          </w:p>
        </w:tc>
        <w:tc>
          <w:tcPr>
            <w:tcW w:w="1710" w:type="dxa"/>
            <w:shd w:val="clear" w:color="auto" w:fill="EEECE1" w:themeFill="background2"/>
          </w:tcPr>
          <w:p w14:paraId="6D449C1A" w14:textId="2B620B44" w:rsidR="004436D3" w:rsidRPr="00147CEB" w:rsidRDefault="004436D3" w:rsidP="002D7075">
            <w:pPr>
              <w:spacing w:after="160"/>
              <w:jc w:val="both"/>
              <w:rPr>
                <w:rFonts w:cs="Arial"/>
                <w:b/>
                <w:bCs/>
                <w:sz w:val="20"/>
              </w:rPr>
            </w:pPr>
            <w:r w:rsidRPr="00147CEB">
              <w:rPr>
                <w:rFonts w:cs="Arial"/>
                <w:b/>
                <w:bCs/>
                <w:sz w:val="20"/>
              </w:rPr>
              <w:t>Eligibility and Enrollment (#44)</w:t>
            </w:r>
          </w:p>
        </w:tc>
        <w:tc>
          <w:tcPr>
            <w:tcW w:w="3420" w:type="dxa"/>
            <w:shd w:val="clear" w:color="auto" w:fill="EEECE1" w:themeFill="background2"/>
          </w:tcPr>
          <w:p w14:paraId="7C257E8A" w14:textId="7A5A951C" w:rsidR="004436D3" w:rsidRPr="00147CEB" w:rsidRDefault="004436D3" w:rsidP="002D7075">
            <w:pPr>
              <w:rPr>
                <w:rFonts w:cs="Arial"/>
                <w:b/>
                <w:bCs/>
                <w:sz w:val="20"/>
              </w:rPr>
            </w:pPr>
            <w:r w:rsidRPr="00147CEB">
              <w:rPr>
                <w:rFonts w:cs="Arial"/>
                <w:b/>
                <w:bCs/>
                <w:sz w:val="20"/>
              </w:rPr>
              <w:t xml:space="preserve">For the purposes of the VDSA, is it requested that the benefits administrator being interfacing with CMS or will ETF continue supporting this function and provide results to the benefits administrator? Are you utilizing </w:t>
            </w:r>
            <w:r w:rsidRPr="00147CEB">
              <w:rPr>
                <w:rFonts w:cs="Arial"/>
                <w:b/>
                <w:bCs/>
                <w:sz w:val="20"/>
              </w:rPr>
              <w:lastRenderedPageBreak/>
              <w:t>MSP, Non-MSP and/or HEW Query Only files?</w:t>
            </w:r>
          </w:p>
        </w:tc>
        <w:tc>
          <w:tcPr>
            <w:tcW w:w="5490" w:type="dxa"/>
            <w:shd w:val="clear" w:color="auto" w:fill="EEECE1" w:themeFill="background2"/>
          </w:tcPr>
          <w:p w14:paraId="06CC23F1" w14:textId="74C06680" w:rsidR="004436D3" w:rsidRPr="00147CEB" w:rsidRDefault="004436D3" w:rsidP="002D7075">
            <w:pPr>
              <w:spacing w:after="160"/>
              <w:rPr>
                <w:b/>
                <w:bCs/>
                <w:color w:val="000000"/>
                <w:sz w:val="20"/>
              </w:rPr>
            </w:pPr>
            <w:r w:rsidRPr="00147CEB">
              <w:rPr>
                <w:b/>
                <w:bCs/>
                <w:color w:val="000000"/>
                <w:sz w:val="20"/>
              </w:rPr>
              <w:lastRenderedPageBreak/>
              <w:t>Currently, ETF uses the MSP (quarterly) and Non-MSP (monthly) file sharing processes with the VDSA. However, we also have the capability established to utilize the HEW Query Only file sharing process if needed.</w:t>
            </w:r>
          </w:p>
          <w:p w14:paraId="45745FF4" w14:textId="3FD1D2C3" w:rsidR="004436D3" w:rsidRPr="00147CEB" w:rsidRDefault="004436D3" w:rsidP="002D7075">
            <w:pPr>
              <w:spacing w:after="160"/>
              <w:rPr>
                <w:b/>
                <w:bCs/>
                <w:color w:val="000000"/>
                <w:sz w:val="20"/>
              </w:rPr>
            </w:pPr>
            <w:r w:rsidRPr="00147CEB">
              <w:rPr>
                <w:b/>
                <w:bCs/>
                <w:color w:val="000000"/>
                <w:sz w:val="20"/>
              </w:rPr>
              <w:t xml:space="preserve">While this process works, we are interested in </w:t>
            </w:r>
            <w:r w:rsidRPr="00147CEB">
              <w:rPr>
                <w:rFonts w:cs="Arial"/>
                <w:b/>
                <w:bCs/>
                <w:sz w:val="20"/>
              </w:rPr>
              <w:t xml:space="preserve">any capabilities the Proposer’s system may offer to </w:t>
            </w:r>
            <w:r w:rsidRPr="00147CEB">
              <w:rPr>
                <w:rFonts w:cs="Arial"/>
                <w:b/>
                <w:bCs/>
                <w:sz w:val="20"/>
              </w:rPr>
              <w:lastRenderedPageBreak/>
              <w:t xml:space="preserve">streamline, enhance, automate, and more effectively manage functions related to a </w:t>
            </w:r>
            <w:r w:rsidRPr="00147CEB">
              <w:rPr>
                <w:b/>
                <w:bCs/>
                <w:color w:val="000000"/>
                <w:sz w:val="20"/>
              </w:rPr>
              <w:t>member’s Medicare enrollment and participation.</w:t>
            </w:r>
          </w:p>
        </w:tc>
      </w:tr>
      <w:tr w:rsidR="004436D3" w:rsidRPr="00EE7F4B" w14:paraId="27526B2D" w14:textId="77777777" w:rsidTr="00AC3150">
        <w:tc>
          <w:tcPr>
            <w:tcW w:w="720" w:type="dxa"/>
            <w:shd w:val="clear" w:color="auto" w:fill="DBE5F1" w:themeFill="accent1" w:themeFillTint="33"/>
          </w:tcPr>
          <w:p w14:paraId="08F5AE7C" w14:textId="5BE14396" w:rsidR="004436D3" w:rsidRPr="00EE7F4B" w:rsidRDefault="004436D3" w:rsidP="002D7075">
            <w:pPr>
              <w:spacing w:after="160"/>
              <w:jc w:val="both"/>
              <w:rPr>
                <w:rFonts w:eastAsia="Calibri" w:cs="Arial"/>
                <w:b/>
                <w:bCs/>
                <w:sz w:val="20"/>
              </w:rPr>
            </w:pPr>
            <w:bookmarkStart w:id="49" w:name="_Hlk36016867"/>
            <w:bookmarkEnd w:id="48"/>
            <w:r w:rsidRPr="00EE7F4B">
              <w:rPr>
                <w:rFonts w:eastAsia="Calibri" w:cs="Arial"/>
                <w:b/>
                <w:bCs/>
                <w:sz w:val="20"/>
              </w:rPr>
              <w:lastRenderedPageBreak/>
              <w:t>Q107</w:t>
            </w:r>
          </w:p>
        </w:tc>
        <w:tc>
          <w:tcPr>
            <w:tcW w:w="1710" w:type="dxa"/>
            <w:shd w:val="clear" w:color="auto" w:fill="DBE5F1" w:themeFill="accent1" w:themeFillTint="33"/>
          </w:tcPr>
          <w:p w14:paraId="5433742E" w14:textId="60FB7A90" w:rsidR="004436D3" w:rsidRPr="00EE7F4B" w:rsidRDefault="004436D3" w:rsidP="002D7075">
            <w:pPr>
              <w:spacing w:before="120" w:after="120"/>
              <w:rPr>
                <w:rFonts w:cs="Arial"/>
                <w:b/>
                <w:bCs/>
                <w:sz w:val="20"/>
              </w:rPr>
            </w:pPr>
            <w:r w:rsidRPr="00EE7F4B">
              <w:rPr>
                <w:rFonts w:cs="Arial"/>
                <w:b/>
                <w:bCs/>
                <w:sz w:val="20"/>
              </w:rPr>
              <w:t>Appendix 7 - Technical Questionnaire</w:t>
            </w:r>
          </w:p>
        </w:tc>
        <w:tc>
          <w:tcPr>
            <w:tcW w:w="1710" w:type="dxa"/>
            <w:shd w:val="clear" w:color="auto" w:fill="DBE5F1" w:themeFill="accent1" w:themeFillTint="33"/>
          </w:tcPr>
          <w:p w14:paraId="54FCFE33" w14:textId="476E1958" w:rsidR="004436D3" w:rsidRPr="00EE7F4B" w:rsidRDefault="004436D3" w:rsidP="002D7075">
            <w:pPr>
              <w:spacing w:after="160"/>
              <w:jc w:val="both"/>
              <w:rPr>
                <w:rFonts w:cs="Arial"/>
                <w:b/>
                <w:bCs/>
                <w:sz w:val="20"/>
              </w:rPr>
            </w:pPr>
            <w:r w:rsidRPr="00EE7F4B">
              <w:rPr>
                <w:rFonts w:cs="Arial"/>
                <w:b/>
                <w:bCs/>
                <w:sz w:val="20"/>
              </w:rPr>
              <w:t>Eligibility and Enrollment (#53)</w:t>
            </w:r>
          </w:p>
        </w:tc>
        <w:tc>
          <w:tcPr>
            <w:tcW w:w="3420" w:type="dxa"/>
            <w:shd w:val="clear" w:color="auto" w:fill="DBE5F1" w:themeFill="accent1" w:themeFillTint="33"/>
          </w:tcPr>
          <w:p w14:paraId="08B0BD2D" w14:textId="7E00CC64" w:rsidR="004436D3" w:rsidRPr="00EE7F4B" w:rsidRDefault="004436D3" w:rsidP="002D7075">
            <w:pPr>
              <w:rPr>
                <w:rFonts w:cs="Arial"/>
                <w:b/>
                <w:bCs/>
                <w:sz w:val="20"/>
              </w:rPr>
            </w:pPr>
            <w:r w:rsidRPr="00EE7F4B">
              <w:rPr>
                <w:rFonts w:cs="Arial"/>
                <w:b/>
                <w:bCs/>
                <w:sz w:val="20"/>
              </w:rPr>
              <w:t>Please describe your current Death Audit process.</w:t>
            </w:r>
          </w:p>
        </w:tc>
        <w:tc>
          <w:tcPr>
            <w:tcW w:w="5490" w:type="dxa"/>
            <w:shd w:val="clear" w:color="auto" w:fill="DBE5F1" w:themeFill="accent1" w:themeFillTint="33"/>
          </w:tcPr>
          <w:p w14:paraId="53A56BC3" w14:textId="2380432A" w:rsidR="004436D3" w:rsidRPr="00EE7F4B" w:rsidRDefault="004436D3" w:rsidP="00A95F7F">
            <w:pPr>
              <w:spacing w:after="160"/>
              <w:rPr>
                <w:b/>
                <w:bCs/>
                <w:color w:val="000000"/>
                <w:sz w:val="20"/>
              </w:rPr>
            </w:pPr>
            <w:r w:rsidRPr="00EE7F4B">
              <w:rPr>
                <w:b/>
                <w:bCs/>
                <w:color w:val="000000"/>
                <w:sz w:val="20"/>
              </w:rPr>
              <w:t>Currently, ETF uses two different sources to identify and compare ETF annuity accounts against death records:</w:t>
            </w:r>
          </w:p>
          <w:p w14:paraId="0814B658" w14:textId="221710E6" w:rsidR="004436D3" w:rsidRPr="00EE7F4B" w:rsidRDefault="004436D3" w:rsidP="00A54E68">
            <w:pPr>
              <w:pStyle w:val="ListParagraph"/>
              <w:numPr>
                <w:ilvl w:val="0"/>
                <w:numId w:val="48"/>
              </w:numPr>
              <w:spacing w:after="160"/>
              <w:ind w:left="430"/>
              <w:rPr>
                <w:b/>
                <w:bCs/>
                <w:color w:val="000000"/>
                <w:sz w:val="20"/>
              </w:rPr>
            </w:pPr>
            <w:r w:rsidRPr="00EE7F4B">
              <w:rPr>
                <w:b/>
                <w:bCs/>
                <w:color w:val="000000"/>
                <w:sz w:val="20"/>
              </w:rPr>
              <w:t xml:space="preserve">Berwyn Death Audit Software (BDAS) </w:t>
            </w:r>
          </w:p>
          <w:p w14:paraId="69F000F3" w14:textId="60732BB4" w:rsidR="004436D3" w:rsidRPr="00EE7F4B" w:rsidRDefault="004436D3" w:rsidP="00A54E68">
            <w:pPr>
              <w:pStyle w:val="ListParagraph"/>
              <w:numPr>
                <w:ilvl w:val="0"/>
                <w:numId w:val="48"/>
              </w:numPr>
              <w:spacing w:after="160"/>
              <w:ind w:left="430"/>
              <w:rPr>
                <w:b/>
                <w:bCs/>
                <w:color w:val="000000"/>
                <w:sz w:val="20"/>
              </w:rPr>
            </w:pPr>
            <w:r w:rsidRPr="00EE7F4B">
              <w:rPr>
                <w:b/>
                <w:bCs/>
                <w:color w:val="000000"/>
                <w:sz w:val="20"/>
              </w:rPr>
              <w:t>Wisconsin Department of Health Services vital records</w:t>
            </w:r>
          </w:p>
          <w:p w14:paraId="144F27DC" w14:textId="77777777" w:rsidR="004436D3" w:rsidRPr="00EE7F4B" w:rsidRDefault="004436D3" w:rsidP="00A95F7F">
            <w:pPr>
              <w:spacing w:after="160"/>
              <w:rPr>
                <w:b/>
                <w:bCs/>
                <w:color w:val="000000"/>
                <w:sz w:val="20"/>
              </w:rPr>
            </w:pPr>
            <w:r w:rsidRPr="00EE7F4B">
              <w:rPr>
                <w:b/>
                <w:bCs/>
                <w:color w:val="000000"/>
                <w:sz w:val="20"/>
              </w:rPr>
              <w:t xml:space="preserve">ETF staff then verify the death information, create death notice workflows in our existing legacy system, and update insurance and other information accordingly. </w:t>
            </w:r>
          </w:p>
          <w:p w14:paraId="69517579" w14:textId="36082B59" w:rsidR="004436D3" w:rsidRPr="00EE7F4B" w:rsidRDefault="004436D3" w:rsidP="00A95F7F">
            <w:pPr>
              <w:spacing w:after="160"/>
              <w:rPr>
                <w:b/>
                <w:bCs/>
                <w:color w:val="000000"/>
                <w:sz w:val="20"/>
              </w:rPr>
            </w:pPr>
            <w:r w:rsidRPr="00EE7F4B">
              <w:rPr>
                <w:b/>
                <w:bCs/>
                <w:color w:val="000000"/>
                <w:sz w:val="20"/>
              </w:rPr>
              <w:t xml:space="preserve">The entire death audit process is primarily manually completed today. </w:t>
            </w:r>
          </w:p>
          <w:p w14:paraId="7F56283B" w14:textId="6DD18D6B" w:rsidR="004436D3" w:rsidRPr="00EE7F4B" w:rsidRDefault="004436D3" w:rsidP="00EE7F4B">
            <w:pPr>
              <w:spacing w:after="160"/>
              <w:rPr>
                <w:b/>
                <w:bCs/>
                <w:color w:val="000000"/>
                <w:sz w:val="20"/>
              </w:rPr>
            </w:pPr>
            <w:r w:rsidRPr="00EE7F4B">
              <w:rPr>
                <w:b/>
                <w:bCs/>
                <w:color w:val="000000"/>
                <w:sz w:val="20"/>
              </w:rPr>
              <w:t xml:space="preserve">We are interested in </w:t>
            </w:r>
            <w:r w:rsidRPr="00EE7F4B">
              <w:rPr>
                <w:rFonts w:cs="Arial"/>
                <w:b/>
                <w:bCs/>
                <w:sz w:val="20"/>
              </w:rPr>
              <w:t>any capabilities the Proposer’s system may offer to streamline, enhance, automate, and more effectively manage these functions.</w:t>
            </w:r>
          </w:p>
        </w:tc>
      </w:tr>
      <w:tr w:rsidR="004436D3" w:rsidRPr="00E05173" w14:paraId="600F7F5C" w14:textId="77777777" w:rsidTr="00AC3150">
        <w:tc>
          <w:tcPr>
            <w:tcW w:w="720" w:type="dxa"/>
            <w:shd w:val="clear" w:color="auto" w:fill="EEECE1" w:themeFill="background2"/>
          </w:tcPr>
          <w:p w14:paraId="4968A51E" w14:textId="0CC2AE58" w:rsidR="004436D3" w:rsidRPr="00E05173" w:rsidRDefault="004436D3" w:rsidP="002D7075">
            <w:pPr>
              <w:spacing w:after="160"/>
              <w:jc w:val="both"/>
              <w:rPr>
                <w:rFonts w:eastAsia="Calibri" w:cs="Arial"/>
                <w:b/>
                <w:bCs/>
                <w:sz w:val="20"/>
              </w:rPr>
            </w:pPr>
            <w:bookmarkStart w:id="50" w:name="_Hlk36016879"/>
            <w:bookmarkEnd w:id="49"/>
            <w:r w:rsidRPr="00E05173">
              <w:rPr>
                <w:rFonts w:eastAsia="Calibri" w:cs="Arial"/>
                <w:b/>
                <w:bCs/>
                <w:sz w:val="20"/>
              </w:rPr>
              <w:t>Q108</w:t>
            </w:r>
          </w:p>
        </w:tc>
        <w:tc>
          <w:tcPr>
            <w:tcW w:w="1710" w:type="dxa"/>
            <w:shd w:val="clear" w:color="auto" w:fill="EEECE1" w:themeFill="background2"/>
          </w:tcPr>
          <w:p w14:paraId="4E934863" w14:textId="3977BA6F" w:rsidR="004436D3" w:rsidRPr="00E05173" w:rsidRDefault="004436D3" w:rsidP="002D7075">
            <w:pPr>
              <w:spacing w:before="120" w:after="120"/>
              <w:rPr>
                <w:rFonts w:cs="Arial"/>
                <w:b/>
                <w:bCs/>
                <w:sz w:val="20"/>
              </w:rPr>
            </w:pPr>
            <w:r w:rsidRPr="00E05173">
              <w:rPr>
                <w:rFonts w:cs="Arial"/>
                <w:b/>
                <w:bCs/>
                <w:sz w:val="20"/>
              </w:rPr>
              <w:t>Appendix 7 - Technical Questionnaire</w:t>
            </w:r>
          </w:p>
        </w:tc>
        <w:tc>
          <w:tcPr>
            <w:tcW w:w="1710" w:type="dxa"/>
            <w:shd w:val="clear" w:color="auto" w:fill="EEECE1" w:themeFill="background2"/>
          </w:tcPr>
          <w:p w14:paraId="034CEBAA" w14:textId="29D75EC7" w:rsidR="004436D3" w:rsidRPr="00E05173" w:rsidRDefault="004436D3" w:rsidP="002D7075">
            <w:pPr>
              <w:spacing w:after="160"/>
              <w:jc w:val="both"/>
              <w:rPr>
                <w:rFonts w:cs="Arial"/>
                <w:b/>
                <w:bCs/>
                <w:sz w:val="20"/>
              </w:rPr>
            </w:pPr>
            <w:r w:rsidRPr="00E05173">
              <w:rPr>
                <w:rFonts w:cs="Arial"/>
                <w:b/>
                <w:bCs/>
                <w:sz w:val="20"/>
              </w:rPr>
              <w:t>Third Party</w:t>
            </w:r>
          </w:p>
        </w:tc>
        <w:tc>
          <w:tcPr>
            <w:tcW w:w="3420" w:type="dxa"/>
            <w:shd w:val="clear" w:color="auto" w:fill="EEECE1" w:themeFill="background2"/>
          </w:tcPr>
          <w:p w14:paraId="38F9893D" w14:textId="10A3E445" w:rsidR="004436D3" w:rsidRPr="00E05173" w:rsidRDefault="004436D3" w:rsidP="002D7075">
            <w:pPr>
              <w:rPr>
                <w:rFonts w:cs="Arial"/>
                <w:b/>
                <w:bCs/>
                <w:sz w:val="20"/>
              </w:rPr>
            </w:pPr>
            <w:bookmarkStart w:id="51" w:name="_Hlk36668688"/>
            <w:r w:rsidRPr="00E05173">
              <w:rPr>
                <w:rFonts w:cs="Arial"/>
                <w:b/>
                <w:bCs/>
                <w:sz w:val="20"/>
              </w:rPr>
              <w:t>Please describe the purpose of requested data exchange programs (outside of VDSA which is specified) and the involved federal/state agencies. Please also describe the purposes of the data exchanges with ETF's actuaries</w:t>
            </w:r>
            <w:bookmarkEnd w:id="51"/>
          </w:p>
        </w:tc>
        <w:tc>
          <w:tcPr>
            <w:tcW w:w="5490" w:type="dxa"/>
            <w:shd w:val="clear" w:color="auto" w:fill="EEECE1" w:themeFill="background2"/>
          </w:tcPr>
          <w:p w14:paraId="526CB119" w14:textId="77777777" w:rsidR="004436D3" w:rsidRPr="00E05173" w:rsidRDefault="004436D3" w:rsidP="00A27818">
            <w:pPr>
              <w:spacing w:after="160"/>
              <w:rPr>
                <w:b/>
                <w:bCs/>
                <w:color w:val="000000"/>
                <w:sz w:val="20"/>
              </w:rPr>
            </w:pPr>
            <w:r w:rsidRPr="00E05173">
              <w:rPr>
                <w:b/>
                <w:bCs/>
                <w:color w:val="000000"/>
                <w:sz w:val="20"/>
              </w:rPr>
              <w:t>Today, ETF sends eligibility, enrollment and demographic data to IBM Watson Health (IBM), the current Group Health Insurance Program data warehouse vendor, on a monthly basis to support data analytics and program management. IBM provides ETF with access to the transformed data through a web-based portal.</w:t>
            </w:r>
          </w:p>
          <w:p w14:paraId="5AF55079" w14:textId="2DAA199B" w:rsidR="004436D3" w:rsidRPr="00E05173" w:rsidRDefault="004436D3" w:rsidP="00A27818">
            <w:pPr>
              <w:spacing w:after="160"/>
              <w:rPr>
                <w:b/>
                <w:bCs/>
                <w:color w:val="000000"/>
                <w:sz w:val="20"/>
              </w:rPr>
            </w:pPr>
            <w:r w:rsidRPr="00E05173">
              <w:rPr>
                <w:b/>
                <w:bCs/>
                <w:color w:val="000000"/>
                <w:sz w:val="20"/>
              </w:rPr>
              <w:t xml:space="preserve">ETF also exchanges enrollment and payment-related data with our insurance vendors and TPAs. We exchange data with state agency and other employers. See responses to questions Q25 and Q67 for more details regarding data exchange with employers. </w:t>
            </w:r>
          </w:p>
          <w:p w14:paraId="2D06E0C2" w14:textId="68372690" w:rsidR="004436D3" w:rsidRPr="00E05173" w:rsidRDefault="004436D3" w:rsidP="00A27818">
            <w:pPr>
              <w:spacing w:after="160"/>
              <w:rPr>
                <w:b/>
                <w:bCs/>
                <w:color w:val="000000"/>
                <w:sz w:val="20"/>
              </w:rPr>
            </w:pPr>
            <w:r w:rsidRPr="00E05173">
              <w:rPr>
                <w:b/>
                <w:bCs/>
                <w:color w:val="000000"/>
                <w:sz w:val="20"/>
              </w:rPr>
              <w:t xml:space="preserve">In addition, we exchange data with our consulting actuaries who need certain data elements to perform </w:t>
            </w:r>
            <w:r w:rsidRPr="00E05173">
              <w:rPr>
                <w:b/>
                <w:bCs/>
                <w:color w:val="000000"/>
                <w:sz w:val="20"/>
              </w:rPr>
              <w:lastRenderedPageBreak/>
              <w:t xml:space="preserve">actuarial valuations. This data includes, but is not limited to, data related to member demographics, active employee sick leave, and other benefit related information. Some of this data resides within our current systems, while we need to collect other pieces from employers. </w:t>
            </w:r>
          </w:p>
          <w:p w14:paraId="371F3E26" w14:textId="21987B60" w:rsidR="004436D3" w:rsidRPr="00E05173" w:rsidRDefault="004436D3" w:rsidP="00A27818">
            <w:pPr>
              <w:spacing w:after="160"/>
              <w:rPr>
                <w:b/>
                <w:bCs/>
                <w:color w:val="000000"/>
                <w:sz w:val="20"/>
              </w:rPr>
            </w:pPr>
            <w:r w:rsidRPr="00E05173">
              <w:rPr>
                <w:b/>
                <w:bCs/>
                <w:color w:val="000000"/>
                <w:sz w:val="20"/>
              </w:rPr>
              <w:t xml:space="preserve">We are interested in </w:t>
            </w:r>
            <w:r w:rsidRPr="00E05173">
              <w:rPr>
                <w:rFonts w:cs="Arial"/>
                <w:b/>
                <w:bCs/>
                <w:sz w:val="20"/>
              </w:rPr>
              <w:t>any capabilities the Proposer’s system may offer to streamline, enhance, automate, and more effectively manage our collection and data exchange processes.</w:t>
            </w:r>
          </w:p>
          <w:p w14:paraId="5812B0A5" w14:textId="1571DFF5" w:rsidR="004436D3" w:rsidRPr="00E05173" w:rsidRDefault="004436D3" w:rsidP="00A27818">
            <w:pPr>
              <w:spacing w:after="160"/>
              <w:rPr>
                <w:b/>
                <w:bCs/>
                <w:color w:val="000000"/>
                <w:sz w:val="20"/>
              </w:rPr>
            </w:pPr>
            <w:r w:rsidRPr="00E05173">
              <w:rPr>
                <w:b/>
                <w:bCs/>
                <w:color w:val="000000"/>
                <w:sz w:val="20"/>
              </w:rPr>
              <w:t>Currently, any insurance or benefit related reporting required by the federal government is fulfilled by the appropriate TPA. ETF is not involved in these processes today. We do not envision this responsibility changing; however, we are interested in knowing if the Proposer’s system has the capability to accommodate this type of reporting.</w:t>
            </w:r>
          </w:p>
        </w:tc>
      </w:tr>
      <w:bookmarkEnd w:id="50"/>
      <w:tr w:rsidR="004436D3" w:rsidRPr="00F7121D" w14:paraId="03783264" w14:textId="77777777" w:rsidTr="00AC3150">
        <w:tc>
          <w:tcPr>
            <w:tcW w:w="720" w:type="dxa"/>
            <w:shd w:val="clear" w:color="auto" w:fill="DBE5F1" w:themeFill="accent1" w:themeFillTint="33"/>
          </w:tcPr>
          <w:p w14:paraId="0D26F145" w14:textId="22361F0C" w:rsidR="004436D3" w:rsidRPr="00F7121D" w:rsidRDefault="004436D3" w:rsidP="002D7075">
            <w:pPr>
              <w:spacing w:after="160"/>
              <w:jc w:val="both"/>
              <w:rPr>
                <w:rFonts w:eastAsia="Calibri" w:cs="Arial"/>
                <w:b/>
                <w:bCs/>
                <w:sz w:val="20"/>
              </w:rPr>
            </w:pPr>
            <w:r w:rsidRPr="00F7121D">
              <w:rPr>
                <w:rFonts w:eastAsia="Calibri" w:cs="Arial"/>
                <w:b/>
                <w:bCs/>
                <w:sz w:val="20"/>
              </w:rPr>
              <w:lastRenderedPageBreak/>
              <w:t>Q109</w:t>
            </w:r>
          </w:p>
        </w:tc>
        <w:tc>
          <w:tcPr>
            <w:tcW w:w="1710" w:type="dxa"/>
            <w:shd w:val="clear" w:color="auto" w:fill="DBE5F1" w:themeFill="accent1" w:themeFillTint="33"/>
          </w:tcPr>
          <w:p w14:paraId="2A02ACAC" w14:textId="5A110710" w:rsidR="004436D3" w:rsidRPr="00F7121D" w:rsidRDefault="004436D3" w:rsidP="002D7075">
            <w:pPr>
              <w:spacing w:before="120" w:after="120"/>
              <w:rPr>
                <w:rFonts w:cs="Arial"/>
                <w:b/>
                <w:bCs/>
                <w:sz w:val="20"/>
              </w:rPr>
            </w:pPr>
            <w:r w:rsidRPr="00F7121D">
              <w:rPr>
                <w:rFonts w:cs="Arial"/>
                <w:b/>
                <w:bCs/>
                <w:sz w:val="20"/>
              </w:rPr>
              <w:t>General</w:t>
            </w:r>
          </w:p>
        </w:tc>
        <w:tc>
          <w:tcPr>
            <w:tcW w:w="1710" w:type="dxa"/>
            <w:shd w:val="clear" w:color="auto" w:fill="DBE5F1" w:themeFill="accent1" w:themeFillTint="33"/>
          </w:tcPr>
          <w:p w14:paraId="43A71CB3" w14:textId="1BDD01A1" w:rsidR="004436D3" w:rsidRPr="00F7121D" w:rsidRDefault="004436D3" w:rsidP="002D7075">
            <w:pPr>
              <w:spacing w:after="160"/>
              <w:jc w:val="both"/>
              <w:rPr>
                <w:rFonts w:cs="Arial"/>
                <w:b/>
                <w:bCs/>
                <w:sz w:val="20"/>
              </w:rPr>
            </w:pPr>
            <w:r w:rsidRPr="00F7121D">
              <w:rPr>
                <w:rFonts w:cs="Arial"/>
                <w:b/>
                <w:bCs/>
                <w:sz w:val="20"/>
              </w:rPr>
              <w:t>General</w:t>
            </w:r>
          </w:p>
        </w:tc>
        <w:tc>
          <w:tcPr>
            <w:tcW w:w="3420" w:type="dxa"/>
            <w:shd w:val="clear" w:color="auto" w:fill="DBE5F1" w:themeFill="accent1" w:themeFillTint="33"/>
          </w:tcPr>
          <w:p w14:paraId="7D04CD2D" w14:textId="7E1A43DA" w:rsidR="004436D3" w:rsidRPr="00F7121D" w:rsidRDefault="004436D3" w:rsidP="002D7075">
            <w:pPr>
              <w:rPr>
                <w:rFonts w:cs="Arial"/>
                <w:b/>
                <w:bCs/>
                <w:sz w:val="20"/>
              </w:rPr>
            </w:pPr>
            <w:r w:rsidRPr="00F7121D">
              <w:rPr>
                <w:rFonts w:cs="Arial"/>
                <w:b/>
                <w:bCs/>
                <w:sz w:val="20"/>
              </w:rPr>
              <w:t>What is the total number of entities involved in this RFP?</w:t>
            </w:r>
          </w:p>
        </w:tc>
        <w:tc>
          <w:tcPr>
            <w:tcW w:w="5490" w:type="dxa"/>
            <w:shd w:val="clear" w:color="auto" w:fill="DBE5F1" w:themeFill="accent1" w:themeFillTint="33"/>
          </w:tcPr>
          <w:p w14:paraId="3C40227F" w14:textId="5CD86DB9" w:rsidR="004436D3" w:rsidRPr="00F7121D" w:rsidRDefault="004436D3" w:rsidP="00383E16">
            <w:pPr>
              <w:spacing w:after="160"/>
              <w:rPr>
                <w:rFonts w:cs="Arial"/>
                <w:b/>
                <w:bCs/>
                <w:sz w:val="20"/>
              </w:rPr>
            </w:pPr>
            <w:r>
              <w:rPr>
                <w:rFonts w:cs="Arial"/>
                <w:b/>
                <w:bCs/>
                <w:sz w:val="20"/>
              </w:rPr>
              <w:t xml:space="preserve">See responses to questions Q39 and Q66 above.  </w:t>
            </w:r>
          </w:p>
        </w:tc>
      </w:tr>
      <w:tr w:rsidR="004436D3" w:rsidRPr="00910048" w14:paraId="6BBC5A14" w14:textId="77777777" w:rsidTr="00AC3150">
        <w:tc>
          <w:tcPr>
            <w:tcW w:w="720" w:type="dxa"/>
            <w:shd w:val="clear" w:color="auto" w:fill="EEECE1" w:themeFill="background2"/>
          </w:tcPr>
          <w:p w14:paraId="37390134" w14:textId="440F8507" w:rsidR="004436D3" w:rsidRPr="00910048" w:rsidRDefault="004436D3" w:rsidP="002D7075">
            <w:pPr>
              <w:spacing w:after="160"/>
              <w:jc w:val="both"/>
              <w:rPr>
                <w:rFonts w:eastAsia="Calibri" w:cs="Arial"/>
                <w:b/>
                <w:bCs/>
                <w:sz w:val="20"/>
              </w:rPr>
            </w:pPr>
            <w:bookmarkStart w:id="52" w:name="_Hlk35285846"/>
            <w:r w:rsidRPr="00910048">
              <w:rPr>
                <w:rFonts w:eastAsia="Calibri" w:cs="Arial"/>
                <w:b/>
                <w:bCs/>
                <w:sz w:val="20"/>
              </w:rPr>
              <w:t>Q110</w:t>
            </w:r>
          </w:p>
        </w:tc>
        <w:tc>
          <w:tcPr>
            <w:tcW w:w="1710" w:type="dxa"/>
            <w:shd w:val="clear" w:color="auto" w:fill="EEECE1" w:themeFill="background2"/>
          </w:tcPr>
          <w:p w14:paraId="20EFF106" w14:textId="2F4EA394" w:rsidR="004436D3" w:rsidRPr="00910048" w:rsidRDefault="004436D3" w:rsidP="002D7075">
            <w:pPr>
              <w:spacing w:before="120" w:after="120"/>
              <w:rPr>
                <w:rFonts w:cs="Arial"/>
                <w:b/>
                <w:bCs/>
                <w:sz w:val="20"/>
              </w:rPr>
            </w:pPr>
            <w:r w:rsidRPr="00910048">
              <w:rPr>
                <w:rFonts w:cs="Arial"/>
                <w:b/>
                <w:bCs/>
                <w:sz w:val="20"/>
              </w:rPr>
              <w:t>General</w:t>
            </w:r>
          </w:p>
        </w:tc>
        <w:tc>
          <w:tcPr>
            <w:tcW w:w="1710" w:type="dxa"/>
            <w:shd w:val="clear" w:color="auto" w:fill="EEECE1" w:themeFill="background2"/>
          </w:tcPr>
          <w:p w14:paraId="2FFE3172" w14:textId="43ABE1A9" w:rsidR="004436D3" w:rsidRPr="00910048" w:rsidRDefault="004436D3" w:rsidP="002D7075">
            <w:pPr>
              <w:spacing w:after="160"/>
              <w:jc w:val="both"/>
              <w:rPr>
                <w:rFonts w:cs="Arial"/>
                <w:b/>
                <w:bCs/>
                <w:sz w:val="20"/>
              </w:rPr>
            </w:pPr>
            <w:r w:rsidRPr="00910048">
              <w:rPr>
                <w:rFonts w:cs="Arial"/>
                <w:b/>
                <w:bCs/>
                <w:sz w:val="20"/>
              </w:rPr>
              <w:t>General</w:t>
            </w:r>
          </w:p>
        </w:tc>
        <w:tc>
          <w:tcPr>
            <w:tcW w:w="3420" w:type="dxa"/>
            <w:shd w:val="clear" w:color="auto" w:fill="EEECE1" w:themeFill="background2"/>
          </w:tcPr>
          <w:p w14:paraId="5B0A571B" w14:textId="77777777" w:rsidR="004436D3" w:rsidRPr="00910048" w:rsidRDefault="004436D3" w:rsidP="002D7075">
            <w:pPr>
              <w:rPr>
                <w:rFonts w:cs="Arial"/>
                <w:b/>
                <w:bCs/>
                <w:sz w:val="20"/>
              </w:rPr>
            </w:pPr>
            <w:r w:rsidRPr="00910048">
              <w:rPr>
                <w:rFonts w:cs="Arial"/>
                <w:b/>
                <w:bCs/>
                <w:sz w:val="20"/>
              </w:rPr>
              <w:t>Active Population Clarification - Please confirm the breakdown of the 630,000 current and former employee population:</w:t>
            </w:r>
          </w:p>
          <w:p w14:paraId="4D2AE248" w14:textId="0137BAC8" w:rsidR="004436D3" w:rsidRPr="00910048" w:rsidRDefault="004436D3" w:rsidP="002D7075">
            <w:pPr>
              <w:pStyle w:val="ListParagraph"/>
              <w:numPr>
                <w:ilvl w:val="0"/>
                <w:numId w:val="4"/>
              </w:numPr>
              <w:rPr>
                <w:rFonts w:cs="Arial"/>
                <w:b/>
                <w:bCs/>
                <w:sz w:val="20"/>
              </w:rPr>
            </w:pPr>
            <w:r w:rsidRPr="00910048">
              <w:rPr>
                <w:rFonts w:cs="Arial"/>
                <w:b/>
                <w:bCs/>
                <w:sz w:val="20"/>
              </w:rPr>
              <w:t>Understanding that there are 110,237 participating employees in GHIP, please confirm the total eligible active employee population?</w:t>
            </w:r>
          </w:p>
          <w:p w14:paraId="428066F3" w14:textId="77777777" w:rsidR="004436D3" w:rsidRPr="00910048" w:rsidRDefault="004436D3" w:rsidP="002D7075">
            <w:pPr>
              <w:pStyle w:val="ListParagraph"/>
              <w:numPr>
                <w:ilvl w:val="0"/>
                <w:numId w:val="4"/>
              </w:numPr>
              <w:rPr>
                <w:rFonts w:cs="Arial"/>
                <w:b/>
                <w:bCs/>
                <w:sz w:val="20"/>
              </w:rPr>
            </w:pPr>
            <w:r w:rsidRPr="00910048">
              <w:rPr>
                <w:rFonts w:cs="Arial"/>
                <w:b/>
                <w:bCs/>
                <w:sz w:val="20"/>
              </w:rPr>
              <w:t xml:space="preserve">It appears there are 261,302 employees participating in life insurance.  Given the above GHIP participating employee count, is it safe to assume that there is a </w:t>
            </w:r>
            <w:r w:rsidRPr="00910048">
              <w:rPr>
                <w:rFonts w:cs="Arial"/>
                <w:b/>
                <w:bCs/>
                <w:sz w:val="20"/>
              </w:rPr>
              <w:lastRenderedPageBreak/>
              <w:t>population that will only hold life insurance on our platform? Is this simply the different between the 231,302 (participating in life) and the 110,237 (participating in GHIP) for a total of 151,065?</w:t>
            </w:r>
          </w:p>
          <w:p w14:paraId="45BBBA15" w14:textId="6C2C4DA9" w:rsidR="004436D3" w:rsidRPr="00910048" w:rsidRDefault="004436D3" w:rsidP="002D7075">
            <w:pPr>
              <w:pStyle w:val="ListParagraph"/>
              <w:numPr>
                <w:ilvl w:val="0"/>
                <w:numId w:val="4"/>
              </w:numPr>
              <w:rPr>
                <w:rFonts w:cs="Arial"/>
                <w:b/>
                <w:bCs/>
                <w:sz w:val="20"/>
              </w:rPr>
            </w:pPr>
            <w:r w:rsidRPr="00910048">
              <w:rPr>
                <w:rFonts w:cs="Arial"/>
                <w:b/>
                <w:bCs/>
                <w:sz w:val="20"/>
              </w:rPr>
              <w:t>Confirm the administration expectations of the population that makes up the remainder of the 630,000 current and former employees?  Will they be imported into our system?  If yes, please define the service expectations.</w:t>
            </w:r>
          </w:p>
        </w:tc>
        <w:tc>
          <w:tcPr>
            <w:tcW w:w="5490" w:type="dxa"/>
            <w:shd w:val="clear" w:color="auto" w:fill="EEECE1" w:themeFill="background2"/>
          </w:tcPr>
          <w:p w14:paraId="4EDAE602" w14:textId="3EB6A9A1" w:rsidR="004436D3" w:rsidRPr="00910048" w:rsidRDefault="004436D3" w:rsidP="00FE0840">
            <w:pPr>
              <w:pStyle w:val="ListParagraph"/>
              <w:numPr>
                <w:ilvl w:val="0"/>
                <w:numId w:val="25"/>
              </w:numPr>
              <w:spacing w:before="120" w:after="120"/>
              <w:rPr>
                <w:b/>
                <w:bCs/>
                <w:sz w:val="20"/>
              </w:rPr>
            </w:pPr>
            <w:r w:rsidRPr="00910048">
              <w:rPr>
                <w:b/>
                <w:bCs/>
                <w:sz w:val="20"/>
              </w:rPr>
              <w:lastRenderedPageBreak/>
              <w:t xml:space="preserve">See response to question Q39 above. </w:t>
            </w:r>
          </w:p>
          <w:p w14:paraId="00965A3D" w14:textId="77777777" w:rsidR="004436D3" w:rsidRPr="00910048" w:rsidRDefault="004436D3" w:rsidP="00FE0840">
            <w:pPr>
              <w:pStyle w:val="ListParagraph"/>
              <w:spacing w:before="120" w:after="120"/>
              <w:ind w:left="360"/>
              <w:rPr>
                <w:b/>
                <w:bCs/>
                <w:sz w:val="20"/>
              </w:rPr>
            </w:pPr>
          </w:p>
          <w:p w14:paraId="64A94D8E" w14:textId="77777777" w:rsidR="004436D3" w:rsidRPr="00910048" w:rsidRDefault="004436D3" w:rsidP="00FE0840">
            <w:pPr>
              <w:pStyle w:val="ListParagraph"/>
              <w:numPr>
                <w:ilvl w:val="0"/>
                <w:numId w:val="25"/>
              </w:numPr>
              <w:spacing w:before="120" w:after="120"/>
              <w:rPr>
                <w:b/>
                <w:bCs/>
                <w:sz w:val="20"/>
              </w:rPr>
            </w:pPr>
            <w:r w:rsidRPr="00910048">
              <w:rPr>
                <w:b/>
                <w:bCs/>
                <w:sz w:val="20"/>
              </w:rPr>
              <w:t>Member participation in insurance programs varies, based on each member’s own personal enrollment choices and which benefits are available to them through their employers. Not all employers offer the same benefit options. See response to question Q46 above for more detail on employer benefit offerings.</w:t>
            </w:r>
          </w:p>
          <w:p w14:paraId="4E111FAB" w14:textId="77777777" w:rsidR="004436D3" w:rsidRPr="00910048" w:rsidRDefault="004436D3" w:rsidP="00330173">
            <w:pPr>
              <w:pStyle w:val="ListParagraph"/>
              <w:rPr>
                <w:b/>
                <w:bCs/>
                <w:sz w:val="20"/>
              </w:rPr>
            </w:pPr>
          </w:p>
          <w:p w14:paraId="7D83DBC2" w14:textId="77777777" w:rsidR="004436D3" w:rsidRPr="00910048" w:rsidRDefault="004436D3" w:rsidP="00DB24FF">
            <w:pPr>
              <w:pStyle w:val="ListParagraph"/>
              <w:spacing w:before="120" w:after="120"/>
              <w:ind w:left="360"/>
              <w:rPr>
                <w:b/>
                <w:bCs/>
                <w:sz w:val="20"/>
              </w:rPr>
            </w:pPr>
            <w:r w:rsidRPr="00910048">
              <w:rPr>
                <w:b/>
                <w:bCs/>
                <w:sz w:val="20"/>
              </w:rPr>
              <w:t xml:space="preserve">Consequently, yes, there are members who will only be enrolled in life insurance, just as there are members who will only be enrolled in health insurance, ICI, any supplemental benefit program, or some combination of benefits without being enrolled in all available benefit programs. </w:t>
            </w:r>
          </w:p>
          <w:p w14:paraId="00463980" w14:textId="77777777" w:rsidR="004436D3" w:rsidRPr="00910048" w:rsidRDefault="004436D3" w:rsidP="00DB24FF">
            <w:pPr>
              <w:pStyle w:val="ListParagraph"/>
              <w:spacing w:before="120" w:after="120"/>
              <w:ind w:left="360"/>
              <w:rPr>
                <w:b/>
                <w:bCs/>
                <w:sz w:val="20"/>
              </w:rPr>
            </w:pPr>
          </w:p>
          <w:p w14:paraId="33955DAD" w14:textId="3D173CAF" w:rsidR="004436D3" w:rsidRPr="00910048" w:rsidRDefault="004436D3" w:rsidP="00DB24FF">
            <w:pPr>
              <w:pStyle w:val="ListParagraph"/>
              <w:spacing w:before="120" w:after="120"/>
              <w:ind w:left="360"/>
              <w:rPr>
                <w:rFonts w:cs="Arial"/>
                <w:b/>
                <w:bCs/>
                <w:sz w:val="20"/>
              </w:rPr>
            </w:pPr>
            <w:r w:rsidRPr="00910048">
              <w:rPr>
                <w:rFonts w:cs="Arial"/>
                <w:b/>
                <w:bCs/>
                <w:sz w:val="20"/>
              </w:rPr>
              <w:lastRenderedPageBreak/>
              <w:t xml:space="preserve">Tables 1 and 2 in the RFP list the number of participants (subscribers and dependents) currently enrolled in the various benefit programs. Some of these participants are counted in more than one program because they participate in more than one program. ETF does not have the capabilities today to produce statistics related to unique member enrollments. </w:t>
            </w:r>
          </w:p>
          <w:p w14:paraId="2F045350" w14:textId="3DA5F68C" w:rsidR="004436D3" w:rsidRPr="00910048" w:rsidRDefault="004436D3" w:rsidP="00330173">
            <w:pPr>
              <w:pStyle w:val="ListParagraph"/>
              <w:spacing w:before="120" w:after="120"/>
              <w:ind w:left="360"/>
              <w:rPr>
                <w:b/>
                <w:bCs/>
                <w:sz w:val="20"/>
              </w:rPr>
            </w:pPr>
          </w:p>
          <w:p w14:paraId="22F022F7" w14:textId="5820DDA3" w:rsidR="004436D3" w:rsidRPr="00910048" w:rsidRDefault="004436D3" w:rsidP="00BA67C9">
            <w:pPr>
              <w:pStyle w:val="ListParagraph"/>
              <w:numPr>
                <w:ilvl w:val="0"/>
                <w:numId w:val="25"/>
              </w:numPr>
              <w:spacing w:before="120" w:after="120"/>
              <w:rPr>
                <w:b/>
                <w:bCs/>
                <w:sz w:val="20"/>
              </w:rPr>
            </w:pPr>
            <w:r w:rsidRPr="00910048">
              <w:rPr>
                <w:b/>
                <w:bCs/>
                <w:sz w:val="20"/>
              </w:rPr>
              <w:t>ETF does not expect the IAS to import or manage the entire 630,000 population of current and former employees.</w:t>
            </w:r>
          </w:p>
          <w:p w14:paraId="7FE39380" w14:textId="589E8332" w:rsidR="004436D3" w:rsidRPr="00910048" w:rsidRDefault="004436D3" w:rsidP="00BA67C9">
            <w:pPr>
              <w:pStyle w:val="ListParagraph"/>
              <w:spacing w:before="120" w:after="120"/>
              <w:ind w:left="360"/>
              <w:rPr>
                <w:b/>
                <w:bCs/>
                <w:sz w:val="20"/>
              </w:rPr>
            </w:pPr>
          </w:p>
          <w:p w14:paraId="541BEC01" w14:textId="3996743E" w:rsidR="004436D3" w:rsidRPr="00910048" w:rsidRDefault="004436D3" w:rsidP="00BA67C9">
            <w:pPr>
              <w:pStyle w:val="ListParagraph"/>
              <w:spacing w:before="120" w:after="120"/>
              <w:ind w:left="360"/>
              <w:rPr>
                <w:b/>
                <w:bCs/>
                <w:sz w:val="20"/>
              </w:rPr>
            </w:pPr>
            <w:r w:rsidRPr="00910048">
              <w:rPr>
                <w:b/>
                <w:bCs/>
                <w:sz w:val="20"/>
              </w:rPr>
              <w:t xml:space="preserve">We do, however, expect that the IAS will import all current insurance participants and manage all current and future enrollees. </w:t>
            </w:r>
          </w:p>
          <w:p w14:paraId="5BF64EA8" w14:textId="13345E99" w:rsidR="004436D3" w:rsidRPr="00910048" w:rsidRDefault="004436D3" w:rsidP="00BA67C9">
            <w:pPr>
              <w:pStyle w:val="ListParagraph"/>
              <w:spacing w:before="120" w:after="120"/>
              <w:ind w:left="360"/>
              <w:rPr>
                <w:b/>
                <w:bCs/>
                <w:sz w:val="20"/>
              </w:rPr>
            </w:pPr>
          </w:p>
          <w:p w14:paraId="4DDE7F09" w14:textId="5CC43FC2" w:rsidR="004436D3" w:rsidRPr="00910048" w:rsidRDefault="004436D3" w:rsidP="00910048">
            <w:pPr>
              <w:pStyle w:val="ListParagraph"/>
              <w:spacing w:before="120" w:after="120"/>
              <w:ind w:left="360"/>
              <w:rPr>
                <w:rFonts w:cs="Arial"/>
                <w:b/>
                <w:bCs/>
                <w:sz w:val="20"/>
              </w:rPr>
            </w:pPr>
            <w:r w:rsidRPr="00910048">
              <w:rPr>
                <w:b/>
                <w:bCs/>
                <w:sz w:val="20"/>
              </w:rPr>
              <w:t xml:space="preserve">We are interested in understanding how the Proposer’s system will accommodate and manage eligible employees who are not currently enrolled in insurance coverage but may choose to enroll in the future. There are multiple such possible scenarios, but one such example is loss of coverage. How does the Proposer’s system facilitate enrollment for an eligible employee who does not enroll when initially eligible because he or she has coverage elsewhere, but who later then chooses to enroll when that other coverage is lost? </w:t>
            </w:r>
          </w:p>
        </w:tc>
      </w:tr>
      <w:bookmarkEnd w:id="52"/>
      <w:tr w:rsidR="004436D3" w:rsidRPr="00705EE2" w14:paraId="6F412D1A" w14:textId="77777777" w:rsidTr="00AC3150">
        <w:tc>
          <w:tcPr>
            <w:tcW w:w="720" w:type="dxa"/>
            <w:shd w:val="clear" w:color="auto" w:fill="DBE5F1" w:themeFill="accent1" w:themeFillTint="33"/>
          </w:tcPr>
          <w:p w14:paraId="333418FB" w14:textId="47C2C767" w:rsidR="004436D3" w:rsidRPr="00705EE2" w:rsidRDefault="004436D3" w:rsidP="002D7075">
            <w:pPr>
              <w:spacing w:after="160"/>
              <w:jc w:val="both"/>
              <w:rPr>
                <w:rFonts w:eastAsia="Calibri" w:cs="Arial"/>
                <w:b/>
                <w:bCs/>
                <w:sz w:val="20"/>
              </w:rPr>
            </w:pPr>
            <w:r w:rsidRPr="00705EE2">
              <w:rPr>
                <w:rFonts w:eastAsia="Calibri" w:cs="Arial"/>
                <w:b/>
                <w:bCs/>
                <w:sz w:val="20"/>
              </w:rPr>
              <w:lastRenderedPageBreak/>
              <w:t>Q111</w:t>
            </w:r>
          </w:p>
        </w:tc>
        <w:tc>
          <w:tcPr>
            <w:tcW w:w="1710" w:type="dxa"/>
            <w:shd w:val="clear" w:color="auto" w:fill="DBE5F1" w:themeFill="accent1" w:themeFillTint="33"/>
          </w:tcPr>
          <w:p w14:paraId="70AF27D4" w14:textId="43D4CCAF" w:rsidR="004436D3" w:rsidRPr="00705EE2" w:rsidRDefault="004436D3" w:rsidP="002D7075">
            <w:pPr>
              <w:spacing w:before="120" w:after="120"/>
              <w:rPr>
                <w:rFonts w:cs="Arial"/>
                <w:b/>
                <w:bCs/>
                <w:sz w:val="20"/>
              </w:rPr>
            </w:pPr>
            <w:r w:rsidRPr="00705EE2">
              <w:rPr>
                <w:rFonts w:cs="Arial"/>
                <w:b/>
                <w:bCs/>
                <w:sz w:val="20"/>
              </w:rPr>
              <w:t>General</w:t>
            </w:r>
          </w:p>
        </w:tc>
        <w:tc>
          <w:tcPr>
            <w:tcW w:w="1710" w:type="dxa"/>
            <w:shd w:val="clear" w:color="auto" w:fill="DBE5F1" w:themeFill="accent1" w:themeFillTint="33"/>
          </w:tcPr>
          <w:p w14:paraId="0A97D745" w14:textId="51A039D7" w:rsidR="004436D3" w:rsidRPr="00705EE2" w:rsidRDefault="004436D3" w:rsidP="002D7075">
            <w:pPr>
              <w:spacing w:after="160"/>
              <w:jc w:val="both"/>
              <w:rPr>
                <w:rFonts w:cs="Arial"/>
                <w:b/>
                <w:bCs/>
                <w:sz w:val="20"/>
              </w:rPr>
            </w:pPr>
            <w:r w:rsidRPr="00705EE2">
              <w:rPr>
                <w:rFonts w:cs="Arial"/>
                <w:b/>
                <w:bCs/>
                <w:sz w:val="20"/>
              </w:rPr>
              <w:t>General</w:t>
            </w:r>
          </w:p>
        </w:tc>
        <w:tc>
          <w:tcPr>
            <w:tcW w:w="3420" w:type="dxa"/>
            <w:shd w:val="clear" w:color="auto" w:fill="DBE5F1" w:themeFill="accent1" w:themeFillTint="33"/>
          </w:tcPr>
          <w:p w14:paraId="2B6A1F74" w14:textId="77777777" w:rsidR="004436D3" w:rsidRPr="00705EE2" w:rsidRDefault="004436D3" w:rsidP="002D7075">
            <w:pPr>
              <w:rPr>
                <w:rFonts w:cs="Arial"/>
                <w:b/>
                <w:bCs/>
                <w:sz w:val="20"/>
              </w:rPr>
            </w:pPr>
            <w:r w:rsidRPr="00705EE2">
              <w:rPr>
                <w:rFonts w:cs="Arial"/>
                <w:b/>
                <w:bCs/>
                <w:sz w:val="20"/>
              </w:rPr>
              <w:t>Retiree Population Clarification:</w:t>
            </w:r>
          </w:p>
          <w:p w14:paraId="29A7ED0E" w14:textId="2A3E0A21" w:rsidR="004436D3" w:rsidRPr="00705EE2" w:rsidRDefault="004436D3" w:rsidP="002D7075">
            <w:pPr>
              <w:pStyle w:val="ListParagraph"/>
              <w:numPr>
                <w:ilvl w:val="0"/>
                <w:numId w:val="3"/>
              </w:numPr>
              <w:rPr>
                <w:rFonts w:cs="Arial"/>
                <w:b/>
                <w:bCs/>
                <w:sz w:val="20"/>
              </w:rPr>
            </w:pPr>
            <w:r w:rsidRPr="00705EE2">
              <w:rPr>
                <w:rFonts w:cs="Arial"/>
                <w:b/>
                <w:bCs/>
                <w:sz w:val="20"/>
              </w:rPr>
              <w:t>Please confirm the total retiree count.</w:t>
            </w:r>
          </w:p>
          <w:p w14:paraId="1E8458C0" w14:textId="77777777" w:rsidR="004436D3" w:rsidRPr="00705EE2" w:rsidRDefault="004436D3" w:rsidP="002D7075">
            <w:pPr>
              <w:pStyle w:val="ListParagraph"/>
              <w:numPr>
                <w:ilvl w:val="0"/>
                <w:numId w:val="3"/>
              </w:numPr>
              <w:rPr>
                <w:rFonts w:cs="Arial"/>
                <w:b/>
                <w:bCs/>
                <w:sz w:val="20"/>
              </w:rPr>
            </w:pPr>
            <w:r w:rsidRPr="00705EE2">
              <w:rPr>
                <w:rFonts w:cs="Arial"/>
                <w:b/>
                <w:bCs/>
                <w:sz w:val="20"/>
              </w:rPr>
              <w:t>How many retirees are enrolled in one of the three Medicare plan designs?</w:t>
            </w:r>
          </w:p>
          <w:p w14:paraId="7E2A313A" w14:textId="0E4CFC74" w:rsidR="004436D3" w:rsidRPr="00705EE2" w:rsidRDefault="004436D3" w:rsidP="002D7075">
            <w:pPr>
              <w:pStyle w:val="ListParagraph"/>
              <w:numPr>
                <w:ilvl w:val="0"/>
                <w:numId w:val="3"/>
              </w:numPr>
              <w:rPr>
                <w:rFonts w:cs="Arial"/>
                <w:b/>
                <w:bCs/>
                <w:sz w:val="20"/>
              </w:rPr>
            </w:pPr>
            <w:r w:rsidRPr="00705EE2">
              <w:rPr>
                <w:rFonts w:cs="Arial"/>
                <w:b/>
                <w:bCs/>
                <w:sz w:val="20"/>
              </w:rPr>
              <w:t>How many retirees are enrolled in life insurance only?</w:t>
            </w:r>
          </w:p>
        </w:tc>
        <w:tc>
          <w:tcPr>
            <w:tcW w:w="5490" w:type="dxa"/>
            <w:shd w:val="clear" w:color="auto" w:fill="DBE5F1" w:themeFill="accent1" w:themeFillTint="33"/>
          </w:tcPr>
          <w:p w14:paraId="1349AFF8" w14:textId="77777777" w:rsidR="00AC3150" w:rsidRDefault="004436D3" w:rsidP="00AC3150">
            <w:pPr>
              <w:pStyle w:val="ListParagraph"/>
              <w:numPr>
                <w:ilvl w:val="1"/>
                <w:numId w:val="4"/>
              </w:numPr>
              <w:spacing w:before="120" w:after="120"/>
              <w:ind w:left="340"/>
              <w:rPr>
                <w:rFonts w:cs="Arial"/>
                <w:b/>
                <w:bCs/>
                <w:sz w:val="20"/>
              </w:rPr>
            </w:pPr>
            <w:r>
              <w:rPr>
                <w:b/>
                <w:bCs/>
                <w:sz w:val="20"/>
              </w:rPr>
              <w:t>As of 12/31/18, the t</w:t>
            </w:r>
            <w:r w:rsidRPr="000E7178">
              <w:rPr>
                <w:b/>
                <w:bCs/>
                <w:sz w:val="20"/>
              </w:rPr>
              <w:t xml:space="preserve">otal retiree count </w:t>
            </w:r>
            <w:r>
              <w:rPr>
                <w:b/>
                <w:bCs/>
                <w:sz w:val="20"/>
              </w:rPr>
              <w:t>was</w:t>
            </w:r>
            <w:r w:rsidRPr="000E7178">
              <w:rPr>
                <w:b/>
                <w:bCs/>
                <w:sz w:val="20"/>
              </w:rPr>
              <w:t xml:space="preserve"> </w:t>
            </w:r>
            <w:r>
              <w:rPr>
                <w:b/>
                <w:bCs/>
                <w:sz w:val="20"/>
              </w:rPr>
              <w:t>209,059</w:t>
            </w:r>
            <w:r w:rsidRPr="000E7178">
              <w:rPr>
                <w:b/>
                <w:bCs/>
                <w:sz w:val="20"/>
              </w:rPr>
              <w:t xml:space="preserve">, although </w:t>
            </w:r>
            <w:r>
              <w:rPr>
                <w:b/>
                <w:bCs/>
                <w:sz w:val="20"/>
              </w:rPr>
              <w:t>that</w:t>
            </w:r>
            <w:r w:rsidRPr="000E7178">
              <w:rPr>
                <w:b/>
                <w:bCs/>
                <w:sz w:val="20"/>
              </w:rPr>
              <w:t xml:space="preserve"> number is fluid and can vary from month to month. </w:t>
            </w:r>
            <w:r>
              <w:rPr>
                <w:b/>
                <w:bCs/>
                <w:sz w:val="20"/>
              </w:rPr>
              <w:t>N</w:t>
            </w:r>
            <w:r w:rsidRPr="000E7178">
              <w:rPr>
                <w:b/>
                <w:bCs/>
                <w:sz w:val="20"/>
              </w:rPr>
              <w:t xml:space="preserve">ot all retirees are eligible for insurance benefits. We do not currently have the capability to track eligible retirees who are not enrolled in insurance benefits. However, </w:t>
            </w:r>
            <w:r w:rsidRPr="000E7178">
              <w:rPr>
                <w:rFonts w:cs="Arial"/>
                <w:b/>
                <w:bCs/>
                <w:sz w:val="20"/>
              </w:rPr>
              <w:t>we are interested in any such capabilities the Proposer’s system offers.</w:t>
            </w:r>
          </w:p>
          <w:p w14:paraId="02BEB8D0" w14:textId="77777777" w:rsidR="00AC3150" w:rsidRDefault="00AC3150" w:rsidP="00AC3150">
            <w:pPr>
              <w:pStyle w:val="ListParagraph"/>
              <w:spacing w:before="120" w:after="120"/>
              <w:ind w:left="340"/>
              <w:rPr>
                <w:rFonts w:cs="Arial"/>
                <w:b/>
                <w:bCs/>
                <w:sz w:val="20"/>
              </w:rPr>
            </w:pPr>
          </w:p>
          <w:p w14:paraId="66DB9112" w14:textId="77777777" w:rsidR="00AC3150" w:rsidRDefault="004436D3" w:rsidP="00AC3150">
            <w:pPr>
              <w:pStyle w:val="ListParagraph"/>
              <w:numPr>
                <w:ilvl w:val="1"/>
                <w:numId w:val="4"/>
              </w:numPr>
              <w:spacing w:before="120" w:after="120"/>
              <w:ind w:left="340"/>
              <w:rPr>
                <w:rFonts w:cs="Arial"/>
                <w:b/>
                <w:bCs/>
                <w:sz w:val="20"/>
              </w:rPr>
            </w:pPr>
            <w:r w:rsidRPr="00AC3150">
              <w:rPr>
                <w:rFonts w:cs="Arial"/>
                <w:b/>
                <w:bCs/>
                <w:sz w:val="20"/>
              </w:rPr>
              <w:lastRenderedPageBreak/>
              <w:t>Currently, 42,954 retirees are enrolled in one of the three Medicare plan designs.</w:t>
            </w:r>
          </w:p>
          <w:p w14:paraId="10594645" w14:textId="77777777" w:rsidR="00AC3150" w:rsidRPr="00AC3150" w:rsidRDefault="00AC3150" w:rsidP="00AC3150">
            <w:pPr>
              <w:pStyle w:val="ListParagraph"/>
              <w:rPr>
                <w:rFonts w:cs="Arial"/>
                <w:b/>
                <w:bCs/>
                <w:sz w:val="20"/>
              </w:rPr>
            </w:pPr>
          </w:p>
          <w:p w14:paraId="33AF82FF" w14:textId="7F93DEE9" w:rsidR="004436D3" w:rsidRPr="00AC3150" w:rsidRDefault="004436D3" w:rsidP="00AC3150">
            <w:pPr>
              <w:pStyle w:val="ListParagraph"/>
              <w:numPr>
                <w:ilvl w:val="1"/>
                <w:numId w:val="4"/>
              </w:numPr>
              <w:spacing w:before="120" w:after="120"/>
              <w:ind w:left="340"/>
              <w:rPr>
                <w:rFonts w:cs="Arial"/>
                <w:b/>
                <w:bCs/>
                <w:sz w:val="20"/>
              </w:rPr>
            </w:pPr>
            <w:r w:rsidRPr="00AC3150">
              <w:rPr>
                <w:rFonts w:cs="Arial"/>
                <w:b/>
                <w:bCs/>
                <w:sz w:val="20"/>
              </w:rPr>
              <w:t xml:space="preserve">Currently, 78,510 retirees are enrolled in life insurance. Some of these retirees may also be enrolled in health or other insurance benefits. We do not currently have the capability to track how many retirees are only enrolled in a single benefit program vs. multiple programs. </w:t>
            </w:r>
          </w:p>
        </w:tc>
      </w:tr>
      <w:tr w:rsidR="004436D3" w:rsidRPr="00BC6941" w14:paraId="487A8293" w14:textId="77777777" w:rsidTr="00AC3150">
        <w:tc>
          <w:tcPr>
            <w:tcW w:w="720" w:type="dxa"/>
            <w:shd w:val="clear" w:color="auto" w:fill="EEECE1" w:themeFill="background2"/>
          </w:tcPr>
          <w:p w14:paraId="0EA9AC82" w14:textId="3C5223C1" w:rsidR="004436D3" w:rsidRPr="00BC6941" w:rsidRDefault="004436D3" w:rsidP="002D7075">
            <w:pPr>
              <w:spacing w:after="160"/>
              <w:jc w:val="both"/>
              <w:rPr>
                <w:rFonts w:eastAsia="Calibri" w:cs="Arial"/>
                <w:b/>
                <w:bCs/>
                <w:sz w:val="20"/>
              </w:rPr>
            </w:pPr>
            <w:bookmarkStart w:id="53" w:name="_Hlk36569565"/>
            <w:r w:rsidRPr="00BC6941">
              <w:rPr>
                <w:rFonts w:eastAsia="Calibri" w:cs="Arial"/>
                <w:b/>
                <w:bCs/>
                <w:sz w:val="20"/>
              </w:rPr>
              <w:lastRenderedPageBreak/>
              <w:t>Q112</w:t>
            </w:r>
          </w:p>
        </w:tc>
        <w:tc>
          <w:tcPr>
            <w:tcW w:w="1710" w:type="dxa"/>
            <w:shd w:val="clear" w:color="auto" w:fill="EEECE1" w:themeFill="background2"/>
          </w:tcPr>
          <w:p w14:paraId="1E4BC30E" w14:textId="55A64790" w:rsidR="004436D3" w:rsidRPr="00BC6941" w:rsidRDefault="004436D3" w:rsidP="002D7075">
            <w:pPr>
              <w:spacing w:before="120" w:after="120"/>
              <w:rPr>
                <w:rFonts w:cs="Arial"/>
                <w:b/>
                <w:bCs/>
                <w:sz w:val="20"/>
              </w:rPr>
            </w:pPr>
            <w:r w:rsidRPr="00BC6941">
              <w:rPr>
                <w:rFonts w:cs="Arial"/>
                <w:b/>
                <w:bCs/>
                <w:sz w:val="20"/>
              </w:rPr>
              <w:t xml:space="preserve">General </w:t>
            </w:r>
          </w:p>
        </w:tc>
        <w:tc>
          <w:tcPr>
            <w:tcW w:w="1710" w:type="dxa"/>
            <w:shd w:val="clear" w:color="auto" w:fill="EEECE1" w:themeFill="background2"/>
          </w:tcPr>
          <w:p w14:paraId="5B86C308" w14:textId="52C7A5D2" w:rsidR="004436D3" w:rsidRPr="00BC6941" w:rsidRDefault="004436D3" w:rsidP="002D7075">
            <w:pPr>
              <w:spacing w:after="160"/>
              <w:jc w:val="both"/>
              <w:rPr>
                <w:rFonts w:cs="Arial"/>
                <w:b/>
                <w:bCs/>
                <w:sz w:val="20"/>
              </w:rPr>
            </w:pPr>
            <w:r w:rsidRPr="00BC6941">
              <w:rPr>
                <w:rFonts w:cs="Arial"/>
                <w:b/>
                <w:bCs/>
                <w:sz w:val="20"/>
              </w:rPr>
              <w:t>General</w:t>
            </w:r>
          </w:p>
        </w:tc>
        <w:tc>
          <w:tcPr>
            <w:tcW w:w="3420" w:type="dxa"/>
            <w:shd w:val="clear" w:color="auto" w:fill="EEECE1" w:themeFill="background2"/>
          </w:tcPr>
          <w:p w14:paraId="5BF4E6AB" w14:textId="39FA9698" w:rsidR="004436D3" w:rsidRPr="00BC6941" w:rsidRDefault="004436D3" w:rsidP="002D7075">
            <w:pPr>
              <w:rPr>
                <w:rFonts w:cs="Arial"/>
                <w:b/>
                <w:bCs/>
                <w:sz w:val="20"/>
              </w:rPr>
            </w:pPr>
            <w:r w:rsidRPr="00BC6941">
              <w:rPr>
                <w:rFonts w:cs="Arial"/>
                <w:b/>
                <w:bCs/>
                <w:sz w:val="20"/>
              </w:rPr>
              <w:t xml:space="preserve">Carrier Integration Clarification – Understanding that additional program web address detail was provided, we want to clearly understand the carrier integration requirements to administer both the current and former benefits programs. Please provide this detail by carrier and type of integration (outbound carrier file from vendor, inbound data import to vendor or single sign-on connection between vendors).  </w:t>
            </w:r>
          </w:p>
        </w:tc>
        <w:tc>
          <w:tcPr>
            <w:tcW w:w="5490" w:type="dxa"/>
            <w:shd w:val="clear" w:color="auto" w:fill="EEECE1" w:themeFill="background2"/>
          </w:tcPr>
          <w:p w14:paraId="74D3A0B0" w14:textId="77777777" w:rsidR="004436D3" w:rsidRDefault="004436D3" w:rsidP="002D7075">
            <w:pPr>
              <w:spacing w:after="160"/>
              <w:rPr>
                <w:rFonts w:cs="Arial"/>
                <w:b/>
                <w:bCs/>
                <w:sz w:val="20"/>
              </w:rPr>
            </w:pPr>
            <w:r w:rsidRPr="008E342D">
              <w:rPr>
                <w:rFonts w:cs="Arial"/>
                <w:b/>
                <w:bCs/>
                <w:sz w:val="20"/>
              </w:rPr>
              <w:t>ETF currently interacts with multiple carriers through</w:t>
            </w:r>
            <w:r>
              <w:rPr>
                <w:rFonts w:cs="Arial"/>
                <w:b/>
                <w:bCs/>
                <w:sz w:val="20"/>
              </w:rPr>
              <w:t xml:space="preserve"> inbound and outbound</w:t>
            </w:r>
            <w:r w:rsidRPr="008E342D">
              <w:rPr>
                <w:rFonts w:cs="Arial"/>
                <w:b/>
                <w:bCs/>
                <w:sz w:val="20"/>
              </w:rPr>
              <w:t xml:space="preserve"> file transfer</w:t>
            </w:r>
            <w:r>
              <w:rPr>
                <w:rFonts w:cs="Arial"/>
                <w:b/>
                <w:bCs/>
                <w:sz w:val="20"/>
              </w:rPr>
              <w:t>s,</w:t>
            </w:r>
            <w:r w:rsidRPr="008E342D">
              <w:rPr>
                <w:rFonts w:cs="Arial"/>
                <w:b/>
                <w:bCs/>
                <w:sz w:val="20"/>
              </w:rPr>
              <w:t xml:space="preserve"> mainly using established ANSI EDI formats, </w:t>
            </w:r>
            <w:r>
              <w:rPr>
                <w:rFonts w:cs="Arial"/>
                <w:b/>
                <w:bCs/>
                <w:sz w:val="20"/>
              </w:rPr>
              <w:t xml:space="preserve">although </w:t>
            </w:r>
            <w:r w:rsidRPr="008E342D">
              <w:rPr>
                <w:rFonts w:cs="Arial"/>
                <w:b/>
                <w:bCs/>
                <w:sz w:val="20"/>
              </w:rPr>
              <w:t>with some file format exceptions.</w:t>
            </w:r>
          </w:p>
          <w:p w14:paraId="53F81B8D" w14:textId="77777777" w:rsidR="004436D3" w:rsidRDefault="004436D3" w:rsidP="002D7075">
            <w:pPr>
              <w:spacing w:after="160"/>
              <w:rPr>
                <w:rFonts w:cs="Arial"/>
                <w:b/>
                <w:bCs/>
                <w:sz w:val="20"/>
              </w:rPr>
            </w:pPr>
            <w:r>
              <w:rPr>
                <w:rFonts w:cs="Arial"/>
                <w:b/>
                <w:bCs/>
                <w:sz w:val="20"/>
              </w:rPr>
              <w:t xml:space="preserve">We do not currently have single sign-on connection with vendors, although we are interested in exploring any available functionality in this area for use with certain TPAs. </w:t>
            </w:r>
          </w:p>
          <w:p w14:paraId="5D420303" w14:textId="087F9CB7" w:rsidR="004436D3" w:rsidRPr="00BC6941" w:rsidRDefault="004436D3" w:rsidP="002D7075">
            <w:pPr>
              <w:spacing w:after="160"/>
              <w:rPr>
                <w:rFonts w:cs="Arial"/>
                <w:b/>
                <w:bCs/>
                <w:sz w:val="20"/>
              </w:rPr>
            </w:pPr>
            <w:r>
              <w:rPr>
                <w:b/>
                <w:bCs/>
                <w:color w:val="000000"/>
                <w:sz w:val="20"/>
              </w:rPr>
              <w:t>W</w:t>
            </w:r>
            <w:r w:rsidRPr="00147CEB">
              <w:rPr>
                <w:b/>
                <w:bCs/>
                <w:color w:val="000000"/>
                <w:sz w:val="20"/>
              </w:rPr>
              <w:t xml:space="preserve">e are interested in </w:t>
            </w:r>
            <w:r w:rsidRPr="00147CEB">
              <w:rPr>
                <w:rFonts w:cs="Arial"/>
                <w:b/>
                <w:bCs/>
                <w:sz w:val="20"/>
              </w:rPr>
              <w:t xml:space="preserve">any capabilities the Proposer’s system may offer to streamline, enhance, and more effectively manage </w:t>
            </w:r>
            <w:r>
              <w:rPr>
                <w:rFonts w:cs="Arial"/>
                <w:b/>
                <w:bCs/>
                <w:sz w:val="20"/>
              </w:rPr>
              <w:t xml:space="preserve">these </w:t>
            </w:r>
            <w:r w:rsidRPr="00147CEB">
              <w:rPr>
                <w:rFonts w:cs="Arial"/>
                <w:b/>
                <w:bCs/>
                <w:sz w:val="20"/>
              </w:rPr>
              <w:t>functions</w:t>
            </w:r>
            <w:r>
              <w:rPr>
                <w:rFonts w:cs="Arial"/>
                <w:b/>
                <w:bCs/>
                <w:sz w:val="20"/>
              </w:rPr>
              <w:t>.</w:t>
            </w:r>
          </w:p>
        </w:tc>
      </w:tr>
      <w:bookmarkEnd w:id="53"/>
      <w:tr w:rsidR="004436D3" w:rsidRPr="004969F0" w14:paraId="0FF69E3E" w14:textId="77777777" w:rsidTr="00AC3150">
        <w:tc>
          <w:tcPr>
            <w:tcW w:w="720" w:type="dxa"/>
            <w:shd w:val="clear" w:color="auto" w:fill="DBE5F1" w:themeFill="accent1" w:themeFillTint="33"/>
          </w:tcPr>
          <w:p w14:paraId="0E8790EC" w14:textId="3B232F56" w:rsidR="004436D3" w:rsidRPr="004969F0" w:rsidRDefault="004436D3" w:rsidP="002D7075">
            <w:pPr>
              <w:spacing w:after="160"/>
              <w:jc w:val="both"/>
              <w:rPr>
                <w:rFonts w:eastAsia="Calibri" w:cs="Arial"/>
                <w:b/>
                <w:bCs/>
                <w:sz w:val="20"/>
              </w:rPr>
            </w:pPr>
            <w:r w:rsidRPr="004969F0">
              <w:rPr>
                <w:rFonts w:eastAsia="Calibri" w:cs="Arial"/>
                <w:b/>
                <w:bCs/>
                <w:sz w:val="20"/>
              </w:rPr>
              <w:t>Q113</w:t>
            </w:r>
          </w:p>
        </w:tc>
        <w:tc>
          <w:tcPr>
            <w:tcW w:w="1710" w:type="dxa"/>
            <w:shd w:val="clear" w:color="auto" w:fill="DBE5F1" w:themeFill="accent1" w:themeFillTint="33"/>
          </w:tcPr>
          <w:p w14:paraId="01CF5BF8" w14:textId="23D3A55C" w:rsidR="004436D3" w:rsidRPr="004969F0" w:rsidRDefault="004436D3" w:rsidP="002D7075">
            <w:pPr>
              <w:spacing w:before="120" w:after="120"/>
              <w:rPr>
                <w:rFonts w:cs="Arial"/>
                <w:b/>
                <w:bCs/>
                <w:sz w:val="20"/>
              </w:rPr>
            </w:pPr>
            <w:r w:rsidRPr="004969F0">
              <w:rPr>
                <w:rFonts w:cs="Arial"/>
                <w:b/>
                <w:bCs/>
                <w:sz w:val="20"/>
              </w:rPr>
              <w:t>General</w:t>
            </w:r>
          </w:p>
        </w:tc>
        <w:tc>
          <w:tcPr>
            <w:tcW w:w="1710" w:type="dxa"/>
            <w:shd w:val="clear" w:color="auto" w:fill="DBE5F1" w:themeFill="accent1" w:themeFillTint="33"/>
          </w:tcPr>
          <w:p w14:paraId="0B07EF58" w14:textId="3046D4AB" w:rsidR="004436D3" w:rsidRPr="004969F0" w:rsidRDefault="004436D3" w:rsidP="002D7075">
            <w:pPr>
              <w:spacing w:after="160"/>
              <w:jc w:val="both"/>
              <w:rPr>
                <w:rFonts w:cs="Arial"/>
                <w:b/>
                <w:bCs/>
                <w:sz w:val="20"/>
              </w:rPr>
            </w:pPr>
            <w:r w:rsidRPr="004969F0">
              <w:rPr>
                <w:rFonts w:cs="Arial"/>
                <w:b/>
                <w:bCs/>
                <w:sz w:val="20"/>
              </w:rPr>
              <w:t>General</w:t>
            </w:r>
          </w:p>
        </w:tc>
        <w:tc>
          <w:tcPr>
            <w:tcW w:w="3420" w:type="dxa"/>
            <w:shd w:val="clear" w:color="auto" w:fill="DBE5F1" w:themeFill="accent1" w:themeFillTint="33"/>
          </w:tcPr>
          <w:p w14:paraId="018C6D41" w14:textId="77777777" w:rsidR="004436D3" w:rsidRPr="004969F0" w:rsidRDefault="004436D3" w:rsidP="002D7075">
            <w:pPr>
              <w:rPr>
                <w:rFonts w:cs="Arial"/>
                <w:b/>
                <w:bCs/>
                <w:sz w:val="20"/>
              </w:rPr>
            </w:pPr>
            <w:r w:rsidRPr="004969F0">
              <w:rPr>
                <w:rFonts w:cs="Arial"/>
                <w:b/>
                <w:bCs/>
                <w:sz w:val="20"/>
              </w:rPr>
              <w:t>Are call center services in scope? If yes, please provide any and all data that may help us understand the volume of calls expected, as well as, the reasons for top call dispositions today. Such as:</w:t>
            </w:r>
          </w:p>
          <w:p w14:paraId="29F98525" w14:textId="77777777" w:rsidR="004436D3" w:rsidRPr="004969F0" w:rsidRDefault="004436D3" w:rsidP="002D7075">
            <w:pPr>
              <w:pStyle w:val="ListParagraph"/>
              <w:numPr>
                <w:ilvl w:val="0"/>
                <w:numId w:val="5"/>
              </w:numPr>
              <w:rPr>
                <w:rFonts w:cs="Arial"/>
                <w:b/>
                <w:bCs/>
                <w:sz w:val="20"/>
              </w:rPr>
            </w:pPr>
            <w:r w:rsidRPr="004969F0">
              <w:rPr>
                <w:rFonts w:cs="Arial"/>
                <w:b/>
                <w:bCs/>
                <w:sz w:val="20"/>
              </w:rPr>
              <w:t>Annual Call Volume</w:t>
            </w:r>
          </w:p>
          <w:p w14:paraId="0044A906" w14:textId="77777777" w:rsidR="004436D3" w:rsidRPr="004969F0" w:rsidRDefault="004436D3" w:rsidP="002D7075">
            <w:pPr>
              <w:pStyle w:val="ListParagraph"/>
              <w:numPr>
                <w:ilvl w:val="0"/>
                <w:numId w:val="5"/>
              </w:numPr>
              <w:rPr>
                <w:rFonts w:cs="Arial"/>
                <w:b/>
                <w:bCs/>
                <w:sz w:val="20"/>
              </w:rPr>
            </w:pPr>
            <w:r w:rsidRPr="004969F0">
              <w:rPr>
                <w:rFonts w:cs="Arial"/>
                <w:b/>
                <w:bCs/>
                <w:sz w:val="20"/>
              </w:rPr>
              <w:t>Annual Enrollment Call Volume</w:t>
            </w:r>
          </w:p>
          <w:p w14:paraId="2BDA1176" w14:textId="77777777" w:rsidR="004436D3" w:rsidRPr="004969F0" w:rsidRDefault="004436D3" w:rsidP="002D7075">
            <w:pPr>
              <w:pStyle w:val="ListParagraph"/>
              <w:numPr>
                <w:ilvl w:val="0"/>
                <w:numId w:val="5"/>
              </w:numPr>
              <w:rPr>
                <w:rFonts w:cs="Arial"/>
                <w:b/>
                <w:bCs/>
                <w:sz w:val="20"/>
              </w:rPr>
            </w:pPr>
            <w:r w:rsidRPr="004969F0">
              <w:rPr>
                <w:rFonts w:cs="Arial"/>
                <w:b/>
                <w:bCs/>
                <w:sz w:val="20"/>
              </w:rPr>
              <w:t>Average Call Duration</w:t>
            </w:r>
          </w:p>
          <w:p w14:paraId="4A75C9EE" w14:textId="35905C92" w:rsidR="004436D3" w:rsidRPr="004969F0" w:rsidRDefault="004436D3" w:rsidP="002D7075">
            <w:pPr>
              <w:pStyle w:val="ListParagraph"/>
              <w:numPr>
                <w:ilvl w:val="0"/>
                <w:numId w:val="5"/>
              </w:numPr>
              <w:rPr>
                <w:rFonts w:cs="Arial"/>
                <w:b/>
                <w:bCs/>
                <w:sz w:val="20"/>
              </w:rPr>
            </w:pPr>
            <w:r w:rsidRPr="004969F0">
              <w:rPr>
                <w:rFonts w:cs="Arial"/>
                <w:b/>
                <w:bCs/>
                <w:sz w:val="20"/>
              </w:rPr>
              <w:t>Call Disposition Detail</w:t>
            </w:r>
          </w:p>
        </w:tc>
        <w:tc>
          <w:tcPr>
            <w:tcW w:w="5490" w:type="dxa"/>
            <w:shd w:val="clear" w:color="auto" w:fill="DBE5F1" w:themeFill="accent1" w:themeFillTint="33"/>
          </w:tcPr>
          <w:p w14:paraId="23D07A75" w14:textId="798EB8CD" w:rsidR="004436D3" w:rsidRPr="005362FF" w:rsidRDefault="004436D3" w:rsidP="002D7075">
            <w:pPr>
              <w:spacing w:after="160"/>
              <w:rPr>
                <w:rFonts w:cs="Arial"/>
                <w:b/>
                <w:bCs/>
                <w:sz w:val="20"/>
              </w:rPr>
            </w:pPr>
            <w:r>
              <w:rPr>
                <w:rFonts w:cs="Arial"/>
                <w:b/>
                <w:bCs/>
                <w:sz w:val="20"/>
              </w:rPr>
              <w:t>See response to question Q24 a. above.</w:t>
            </w:r>
          </w:p>
        </w:tc>
      </w:tr>
      <w:tr w:rsidR="004436D3" w:rsidRPr="008F3BD4" w14:paraId="569C675E" w14:textId="77777777" w:rsidTr="00AC3150">
        <w:tc>
          <w:tcPr>
            <w:tcW w:w="720" w:type="dxa"/>
            <w:shd w:val="clear" w:color="auto" w:fill="EEECE1" w:themeFill="background2"/>
          </w:tcPr>
          <w:p w14:paraId="222D1A6D" w14:textId="5041194A" w:rsidR="004436D3" w:rsidRPr="008F3BD4" w:rsidRDefault="004436D3" w:rsidP="002D7075">
            <w:pPr>
              <w:spacing w:after="160"/>
              <w:jc w:val="both"/>
              <w:rPr>
                <w:rFonts w:eastAsia="Calibri" w:cs="Arial"/>
                <w:b/>
                <w:bCs/>
                <w:sz w:val="20"/>
              </w:rPr>
            </w:pPr>
            <w:bookmarkStart w:id="54" w:name="_Hlk35849442"/>
            <w:r w:rsidRPr="008F3BD4">
              <w:rPr>
                <w:rFonts w:eastAsia="Calibri" w:cs="Arial"/>
                <w:b/>
                <w:bCs/>
                <w:sz w:val="20"/>
              </w:rPr>
              <w:t>Q114</w:t>
            </w:r>
          </w:p>
        </w:tc>
        <w:tc>
          <w:tcPr>
            <w:tcW w:w="1710" w:type="dxa"/>
            <w:shd w:val="clear" w:color="auto" w:fill="EEECE1" w:themeFill="background2"/>
          </w:tcPr>
          <w:p w14:paraId="375B90CE" w14:textId="43BFAA96" w:rsidR="004436D3" w:rsidRPr="008F3BD4" w:rsidRDefault="004436D3" w:rsidP="002D7075">
            <w:pPr>
              <w:spacing w:before="120" w:after="120"/>
              <w:rPr>
                <w:rFonts w:cs="Arial"/>
                <w:b/>
                <w:bCs/>
                <w:sz w:val="20"/>
              </w:rPr>
            </w:pPr>
            <w:r w:rsidRPr="008F3BD4">
              <w:rPr>
                <w:rFonts w:cs="Arial"/>
                <w:b/>
                <w:bCs/>
                <w:sz w:val="20"/>
              </w:rPr>
              <w:t>RFP</w:t>
            </w:r>
          </w:p>
        </w:tc>
        <w:tc>
          <w:tcPr>
            <w:tcW w:w="1710" w:type="dxa"/>
            <w:shd w:val="clear" w:color="auto" w:fill="EEECE1" w:themeFill="background2"/>
          </w:tcPr>
          <w:p w14:paraId="4ECEF412" w14:textId="3FFAAECE" w:rsidR="004436D3" w:rsidRPr="008F3BD4" w:rsidRDefault="004436D3" w:rsidP="002D7075">
            <w:pPr>
              <w:spacing w:after="160"/>
              <w:jc w:val="both"/>
              <w:rPr>
                <w:rFonts w:cs="Arial"/>
                <w:b/>
                <w:bCs/>
                <w:sz w:val="20"/>
              </w:rPr>
            </w:pPr>
            <w:r w:rsidRPr="008F3BD4">
              <w:rPr>
                <w:rFonts w:cs="Arial"/>
                <w:b/>
                <w:bCs/>
                <w:sz w:val="20"/>
              </w:rPr>
              <w:t>Page 5</w:t>
            </w:r>
          </w:p>
        </w:tc>
        <w:tc>
          <w:tcPr>
            <w:tcW w:w="3420" w:type="dxa"/>
            <w:shd w:val="clear" w:color="auto" w:fill="EEECE1" w:themeFill="background2"/>
          </w:tcPr>
          <w:p w14:paraId="74762A15" w14:textId="1E71C9C1" w:rsidR="004436D3" w:rsidRPr="008F3BD4" w:rsidRDefault="004436D3" w:rsidP="002D7075">
            <w:pPr>
              <w:rPr>
                <w:rFonts w:cs="Arial"/>
                <w:b/>
                <w:bCs/>
                <w:sz w:val="20"/>
              </w:rPr>
            </w:pPr>
            <w:r w:rsidRPr="008F3BD4">
              <w:rPr>
                <w:rFonts w:cs="Arial"/>
                <w:b/>
                <w:bCs/>
                <w:sz w:val="20"/>
              </w:rPr>
              <w:t xml:space="preserve">Please provide a description of how the sick leave conversion </w:t>
            </w:r>
            <w:r w:rsidRPr="008F3BD4">
              <w:rPr>
                <w:rFonts w:cs="Arial"/>
                <w:b/>
                <w:bCs/>
                <w:sz w:val="20"/>
              </w:rPr>
              <w:lastRenderedPageBreak/>
              <w:t>process is handled today (overall data flow, how “claims” against the balance are incurred, etc.).</w:t>
            </w:r>
          </w:p>
        </w:tc>
        <w:tc>
          <w:tcPr>
            <w:tcW w:w="5490" w:type="dxa"/>
            <w:shd w:val="clear" w:color="auto" w:fill="EEECE1" w:themeFill="background2"/>
          </w:tcPr>
          <w:p w14:paraId="200FE724" w14:textId="291F1876" w:rsidR="004436D3" w:rsidRPr="008F3BD4" w:rsidRDefault="004436D3" w:rsidP="002D7075">
            <w:pPr>
              <w:spacing w:after="160"/>
              <w:rPr>
                <w:b/>
                <w:bCs/>
                <w:color w:val="000000"/>
                <w:sz w:val="20"/>
              </w:rPr>
            </w:pPr>
            <w:r w:rsidRPr="008F3BD4">
              <w:rPr>
                <w:b/>
                <w:bCs/>
                <w:color w:val="000000"/>
                <w:sz w:val="20"/>
              </w:rPr>
              <w:lastRenderedPageBreak/>
              <w:t xml:space="preserve">Currently, employers manually enter sick leave hours and other relevant data in AcSL, ETF’s existing sick </w:t>
            </w:r>
            <w:r w:rsidRPr="008F3BD4">
              <w:rPr>
                <w:b/>
                <w:bCs/>
                <w:color w:val="000000"/>
                <w:sz w:val="20"/>
              </w:rPr>
              <w:lastRenderedPageBreak/>
              <w:t xml:space="preserve">leave system, which then calculates the corresponding sick leave account balance and creates a sick leave account for the member.  </w:t>
            </w:r>
          </w:p>
          <w:p w14:paraId="641A5572" w14:textId="3731393E" w:rsidR="004436D3" w:rsidRPr="008F3BD4" w:rsidRDefault="004436D3" w:rsidP="00B269D7">
            <w:pPr>
              <w:spacing w:after="160"/>
              <w:rPr>
                <w:b/>
                <w:bCs/>
                <w:color w:val="000000"/>
                <w:sz w:val="20"/>
              </w:rPr>
            </w:pPr>
            <w:r w:rsidRPr="008F3BD4">
              <w:rPr>
                <w:b/>
                <w:bCs/>
                <w:color w:val="000000"/>
                <w:sz w:val="20"/>
              </w:rPr>
              <w:t>Eligibility to use these sick leave credits to pay health insurance premiums is determined partly by data interfaced between AcSL and corresponding legacy systems, and partly by data that ETF staff manually look up as part of their sick leave processing activities.</w:t>
            </w:r>
          </w:p>
          <w:p w14:paraId="0CCDB1D5" w14:textId="2F2AEADD" w:rsidR="004436D3" w:rsidRPr="008F3BD4" w:rsidRDefault="004436D3" w:rsidP="002D7075">
            <w:pPr>
              <w:spacing w:after="160"/>
              <w:rPr>
                <w:b/>
                <w:bCs/>
                <w:color w:val="000000"/>
                <w:sz w:val="20"/>
              </w:rPr>
            </w:pPr>
            <w:r w:rsidRPr="008F3BD4">
              <w:rPr>
                <w:b/>
                <w:bCs/>
                <w:color w:val="000000"/>
                <w:sz w:val="20"/>
              </w:rPr>
              <w:t xml:space="preserve">Sick leave accounts are managed in AcSL through various account statuses (e.g., active, escrowed, closed, etc.). </w:t>
            </w:r>
          </w:p>
          <w:p w14:paraId="50B2EA41" w14:textId="77777777" w:rsidR="004436D3" w:rsidRPr="008F3BD4" w:rsidRDefault="004436D3" w:rsidP="002D7075">
            <w:pPr>
              <w:spacing w:after="160"/>
              <w:rPr>
                <w:b/>
                <w:bCs/>
                <w:color w:val="000000"/>
                <w:sz w:val="20"/>
              </w:rPr>
            </w:pPr>
            <w:r w:rsidRPr="008F3BD4">
              <w:rPr>
                <w:b/>
                <w:bCs/>
                <w:color w:val="000000"/>
                <w:sz w:val="20"/>
              </w:rPr>
              <w:t xml:space="preserve">Monthly, AcSL accesses invoices from MEBS, ETF’s current health insurance system and deducts health insurance premiums from member’s accounts. </w:t>
            </w:r>
          </w:p>
          <w:p w14:paraId="1ADD513D" w14:textId="77777777" w:rsidR="004436D3" w:rsidRPr="008F3BD4" w:rsidRDefault="004436D3" w:rsidP="002D7075">
            <w:pPr>
              <w:spacing w:after="160"/>
              <w:rPr>
                <w:b/>
                <w:bCs/>
                <w:color w:val="000000"/>
                <w:sz w:val="20"/>
              </w:rPr>
            </w:pPr>
            <w:r w:rsidRPr="008F3BD4">
              <w:rPr>
                <w:b/>
                <w:bCs/>
                <w:color w:val="000000"/>
                <w:sz w:val="20"/>
              </w:rPr>
              <w:t xml:space="preserve">AcSL recalculates and maintains current account balances as monthly premiums are deducted and adjustments (to original information submitted by employers, prior month premiums, etc.) are made. </w:t>
            </w:r>
          </w:p>
          <w:p w14:paraId="5CB4A2FB" w14:textId="77777777" w:rsidR="004436D3" w:rsidRPr="008F3BD4" w:rsidRDefault="004436D3" w:rsidP="002D7075">
            <w:pPr>
              <w:spacing w:after="160"/>
              <w:rPr>
                <w:b/>
                <w:bCs/>
                <w:color w:val="000000"/>
                <w:sz w:val="20"/>
              </w:rPr>
            </w:pPr>
            <w:r w:rsidRPr="008F3BD4">
              <w:rPr>
                <w:b/>
                <w:bCs/>
                <w:color w:val="000000"/>
                <w:sz w:val="20"/>
              </w:rPr>
              <w:t xml:space="preserve">Periodic member correspondence (depletion letters, annual account statements, etc.) are generated and maintained within AcSL. </w:t>
            </w:r>
          </w:p>
          <w:p w14:paraId="743955C5" w14:textId="058992EE" w:rsidR="004436D3" w:rsidRPr="008F3BD4" w:rsidRDefault="004436D3" w:rsidP="002D7075">
            <w:pPr>
              <w:spacing w:after="160"/>
              <w:rPr>
                <w:rFonts w:cs="Arial"/>
                <w:b/>
                <w:bCs/>
                <w:sz w:val="20"/>
              </w:rPr>
            </w:pPr>
            <w:r w:rsidRPr="008F3BD4">
              <w:rPr>
                <w:b/>
                <w:bCs/>
                <w:color w:val="000000"/>
                <w:sz w:val="20"/>
              </w:rPr>
              <w:t xml:space="preserve">We are interested in any capabilities the Proposer’s system may offer in this area.  </w:t>
            </w:r>
          </w:p>
        </w:tc>
      </w:tr>
      <w:tr w:rsidR="004436D3" w:rsidRPr="007F2F17" w14:paraId="6E1B6863" w14:textId="77777777" w:rsidTr="00AC3150">
        <w:tc>
          <w:tcPr>
            <w:tcW w:w="720" w:type="dxa"/>
            <w:shd w:val="clear" w:color="auto" w:fill="DBE5F1" w:themeFill="accent1" w:themeFillTint="33"/>
          </w:tcPr>
          <w:p w14:paraId="0509D341" w14:textId="1983567E" w:rsidR="004436D3" w:rsidRPr="007F2F17" w:rsidRDefault="004436D3" w:rsidP="002D7075">
            <w:pPr>
              <w:spacing w:after="160"/>
              <w:jc w:val="both"/>
              <w:rPr>
                <w:rFonts w:eastAsia="Calibri" w:cs="Arial"/>
                <w:b/>
                <w:bCs/>
                <w:sz w:val="20"/>
              </w:rPr>
            </w:pPr>
            <w:r w:rsidRPr="007F2F17">
              <w:rPr>
                <w:rFonts w:eastAsia="Calibri" w:cs="Arial"/>
                <w:b/>
                <w:bCs/>
                <w:sz w:val="20"/>
              </w:rPr>
              <w:lastRenderedPageBreak/>
              <w:t>Q115</w:t>
            </w:r>
          </w:p>
        </w:tc>
        <w:tc>
          <w:tcPr>
            <w:tcW w:w="1710" w:type="dxa"/>
            <w:shd w:val="clear" w:color="auto" w:fill="DBE5F1" w:themeFill="accent1" w:themeFillTint="33"/>
          </w:tcPr>
          <w:p w14:paraId="64FA20DB" w14:textId="71B59F99" w:rsidR="004436D3" w:rsidRPr="007F2F17" w:rsidRDefault="004436D3" w:rsidP="002D7075">
            <w:pPr>
              <w:spacing w:before="120" w:after="120"/>
              <w:rPr>
                <w:rFonts w:cs="Arial"/>
                <w:b/>
                <w:bCs/>
                <w:sz w:val="20"/>
              </w:rPr>
            </w:pPr>
            <w:r w:rsidRPr="007F2F17">
              <w:rPr>
                <w:rFonts w:cs="Arial"/>
                <w:b/>
                <w:bCs/>
                <w:sz w:val="20"/>
              </w:rPr>
              <w:t>Appendix 7 -Technical Questionnaire</w:t>
            </w:r>
          </w:p>
        </w:tc>
        <w:tc>
          <w:tcPr>
            <w:tcW w:w="1710" w:type="dxa"/>
            <w:shd w:val="clear" w:color="auto" w:fill="DBE5F1" w:themeFill="accent1" w:themeFillTint="33"/>
          </w:tcPr>
          <w:p w14:paraId="6ACB4CE5" w14:textId="1F6B99B2" w:rsidR="004436D3" w:rsidRPr="007F2F17" w:rsidRDefault="004436D3" w:rsidP="002D7075">
            <w:pPr>
              <w:spacing w:after="160"/>
              <w:jc w:val="both"/>
              <w:rPr>
                <w:rFonts w:cs="Arial"/>
                <w:b/>
                <w:bCs/>
                <w:sz w:val="20"/>
              </w:rPr>
            </w:pPr>
            <w:r w:rsidRPr="007F2F17">
              <w:rPr>
                <w:rFonts w:cs="Arial"/>
                <w:b/>
                <w:bCs/>
                <w:sz w:val="20"/>
              </w:rPr>
              <w:t>Page 9</w:t>
            </w:r>
          </w:p>
        </w:tc>
        <w:tc>
          <w:tcPr>
            <w:tcW w:w="3420" w:type="dxa"/>
            <w:shd w:val="clear" w:color="auto" w:fill="DBE5F1" w:themeFill="accent1" w:themeFillTint="33"/>
          </w:tcPr>
          <w:p w14:paraId="1451D725" w14:textId="6EB5B2FC" w:rsidR="004436D3" w:rsidRPr="007F2F17" w:rsidRDefault="004436D3" w:rsidP="002D7075">
            <w:pPr>
              <w:rPr>
                <w:rFonts w:cs="Arial"/>
                <w:b/>
                <w:bCs/>
                <w:sz w:val="20"/>
              </w:rPr>
            </w:pPr>
            <w:r w:rsidRPr="007F2F17">
              <w:rPr>
                <w:rFonts w:cs="Arial"/>
                <w:b/>
                <w:bCs/>
                <w:sz w:val="20"/>
              </w:rPr>
              <w:t xml:space="preserve">Regarding the sick leave conversion process, please provide more information on “combine, split, and merge accounts” including examples and estimates of the volume of how often these processes occur.                </w:t>
            </w:r>
          </w:p>
        </w:tc>
        <w:tc>
          <w:tcPr>
            <w:tcW w:w="5490" w:type="dxa"/>
            <w:shd w:val="clear" w:color="auto" w:fill="DBE5F1" w:themeFill="accent1" w:themeFillTint="33"/>
          </w:tcPr>
          <w:p w14:paraId="52CFB4D7" w14:textId="4FD62F87" w:rsidR="004436D3" w:rsidRPr="007F2F17" w:rsidRDefault="004436D3" w:rsidP="002D7075">
            <w:pPr>
              <w:spacing w:after="160"/>
              <w:rPr>
                <w:b/>
                <w:bCs/>
                <w:color w:val="000000"/>
                <w:sz w:val="20"/>
              </w:rPr>
            </w:pPr>
            <w:r w:rsidRPr="007F2F17">
              <w:rPr>
                <w:b/>
                <w:bCs/>
                <w:color w:val="000000"/>
                <w:sz w:val="20"/>
              </w:rPr>
              <w:t xml:space="preserve">Currently, when a member dies, any remaining value in the sick leave account is transferred to the surviving dependents, mostly typically to the surviving spouse. At times, the surviving spouse may already, or in the future, own another sick leave account (e.g., his or her own member account, another account transferred from another previously deceased spouse, etc.). </w:t>
            </w:r>
          </w:p>
          <w:p w14:paraId="01A509D5" w14:textId="74C1C9D2" w:rsidR="004436D3" w:rsidRPr="007F2F17" w:rsidRDefault="004436D3" w:rsidP="002D7075">
            <w:pPr>
              <w:spacing w:after="160"/>
              <w:rPr>
                <w:b/>
                <w:bCs/>
                <w:color w:val="000000"/>
                <w:sz w:val="20"/>
              </w:rPr>
            </w:pPr>
            <w:r w:rsidRPr="007F2F17">
              <w:rPr>
                <w:b/>
                <w:bCs/>
                <w:color w:val="000000"/>
                <w:sz w:val="20"/>
              </w:rPr>
              <w:t xml:space="preserve">Today, multiple accounts owned by the same individual remain as separate and distinct accounts, </w:t>
            </w:r>
            <w:r w:rsidRPr="007F2F17">
              <w:rPr>
                <w:b/>
                <w:bCs/>
                <w:color w:val="000000"/>
                <w:sz w:val="20"/>
              </w:rPr>
              <w:lastRenderedPageBreak/>
              <w:t xml:space="preserve">although they are “linked” together to provide a holistic view of the total sick leave credit value and to facilitate premium payments. Health insurance premiums are paid from one account until it is depleted before automatically switching to the next account. </w:t>
            </w:r>
          </w:p>
          <w:p w14:paraId="496861FE" w14:textId="2FD7D9B2" w:rsidR="004436D3" w:rsidRPr="007F2F17" w:rsidRDefault="004436D3" w:rsidP="002D7075">
            <w:pPr>
              <w:spacing w:after="160"/>
              <w:rPr>
                <w:b/>
                <w:bCs/>
                <w:color w:val="000000"/>
                <w:sz w:val="20"/>
              </w:rPr>
            </w:pPr>
            <w:r w:rsidRPr="007F2F17">
              <w:rPr>
                <w:b/>
                <w:bCs/>
                <w:color w:val="000000"/>
                <w:sz w:val="20"/>
              </w:rPr>
              <w:t>In 2019, 167 sick leave accounts were transferred to survivors. Of those, 28 individuals already owned another sick leave account. Although we have no definitive statistics, we estimate another 15-20 of these individuals may acquire another sick account in the future.</w:t>
            </w:r>
          </w:p>
          <w:p w14:paraId="06C75A15" w14:textId="4CA60FA8" w:rsidR="004436D3" w:rsidRPr="007F2F17" w:rsidRDefault="004436D3" w:rsidP="002D7075">
            <w:pPr>
              <w:spacing w:after="160"/>
              <w:rPr>
                <w:rFonts w:cs="Arial"/>
                <w:b/>
                <w:bCs/>
                <w:sz w:val="20"/>
              </w:rPr>
            </w:pPr>
            <w:r w:rsidRPr="007F2F17">
              <w:rPr>
                <w:b/>
                <w:bCs/>
                <w:color w:val="000000"/>
                <w:sz w:val="20"/>
              </w:rPr>
              <w:t xml:space="preserve">We are interested in </w:t>
            </w:r>
            <w:r w:rsidRPr="007F2F17">
              <w:rPr>
                <w:rFonts w:cs="Arial"/>
                <w:b/>
                <w:bCs/>
                <w:sz w:val="20"/>
              </w:rPr>
              <w:t>any capabilities the Proposer’s system may offer to streamline, enhance, and more effectively manage these functions and facilitate a comprehensive, cohesive view of an individual’s total sick leave account ownership.</w:t>
            </w:r>
          </w:p>
          <w:p w14:paraId="22B753ED" w14:textId="6AB0A787" w:rsidR="004436D3" w:rsidRPr="007F2F17" w:rsidRDefault="004436D3" w:rsidP="002D7075">
            <w:pPr>
              <w:spacing w:after="160"/>
              <w:rPr>
                <w:b/>
                <w:bCs/>
                <w:color w:val="000000"/>
                <w:sz w:val="20"/>
              </w:rPr>
            </w:pPr>
            <w:r w:rsidRPr="007F2F17">
              <w:rPr>
                <w:rFonts w:cs="Arial"/>
                <w:b/>
                <w:bCs/>
                <w:sz w:val="20"/>
              </w:rPr>
              <w:t xml:space="preserve">In addition, we periodically receive requests to split a sick leave account among surviving dependents after the member dies. We do not allow this today, either by law or system capabilities, but it is something that has been periodically considered. We are interested in knowing whether the Proposer’s system could accommodate such functionality in the future. </w:t>
            </w:r>
            <w:r w:rsidRPr="007F2F17">
              <w:rPr>
                <w:b/>
                <w:bCs/>
                <w:color w:val="000000"/>
                <w:sz w:val="20"/>
              </w:rPr>
              <w:t xml:space="preserve"> </w:t>
            </w:r>
          </w:p>
        </w:tc>
      </w:tr>
      <w:bookmarkEnd w:id="54"/>
      <w:tr w:rsidR="004436D3" w:rsidRPr="00557E98" w14:paraId="0DD14D7C" w14:textId="77777777" w:rsidTr="00AC3150">
        <w:tc>
          <w:tcPr>
            <w:tcW w:w="720" w:type="dxa"/>
            <w:shd w:val="clear" w:color="auto" w:fill="EEECE1" w:themeFill="background2"/>
          </w:tcPr>
          <w:p w14:paraId="08F6EAD9" w14:textId="719670AF" w:rsidR="004436D3" w:rsidRPr="00557E98" w:rsidRDefault="004436D3" w:rsidP="002D7075">
            <w:pPr>
              <w:spacing w:after="160"/>
              <w:jc w:val="both"/>
              <w:rPr>
                <w:rFonts w:eastAsia="Calibri" w:cs="Arial"/>
                <w:b/>
                <w:bCs/>
                <w:sz w:val="20"/>
              </w:rPr>
            </w:pPr>
            <w:r w:rsidRPr="00557E98">
              <w:rPr>
                <w:rFonts w:eastAsia="Calibri" w:cs="Arial"/>
                <w:b/>
                <w:bCs/>
                <w:sz w:val="20"/>
              </w:rPr>
              <w:lastRenderedPageBreak/>
              <w:t>Q116</w:t>
            </w:r>
          </w:p>
        </w:tc>
        <w:tc>
          <w:tcPr>
            <w:tcW w:w="1710" w:type="dxa"/>
            <w:shd w:val="clear" w:color="auto" w:fill="EEECE1" w:themeFill="background2"/>
          </w:tcPr>
          <w:p w14:paraId="039C4B05" w14:textId="266CB7D1" w:rsidR="004436D3" w:rsidRPr="00557E98" w:rsidRDefault="004436D3" w:rsidP="002D7075">
            <w:pPr>
              <w:spacing w:before="120" w:after="120"/>
              <w:rPr>
                <w:rFonts w:cs="Arial"/>
                <w:b/>
                <w:bCs/>
                <w:sz w:val="20"/>
              </w:rPr>
            </w:pPr>
            <w:r w:rsidRPr="00557E98">
              <w:rPr>
                <w:rFonts w:cs="Arial"/>
                <w:b/>
                <w:bCs/>
                <w:sz w:val="20"/>
              </w:rPr>
              <w:t>RFP</w:t>
            </w:r>
          </w:p>
        </w:tc>
        <w:tc>
          <w:tcPr>
            <w:tcW w:w="1710" w:type="dxa"/>
            <w:shd w:val="clear" w:color="auto" w:fill="EEECE1" w:themeFill="background2"/>
          </w:tcPr>
          <w:p w14:paraId="1DF6BD89" w14:textId="52AE1AA5" w:rsidR="004436D3" w:rsidRPr="00557E98" w:rsidRDefault="004436D3" w:rsidP="002D7075">
            <w:pPr>
              <w:spacing w:after="160"/>
              <w:jc w:val="both"/>
              <w:rPr>
                <w:rFonts w:cs="Arial"/>
                <w:b/>
                <w:bCs/>
                <w:sz w:val="20"/>
              </w:rPr>
            </w:pPr>
            <w:r w:rsidRPr="00557E98">
              <w:rPr>
                <w:rFonts w:cs="Arial"/>
                <w:b/>
                <w:bCs/>
                <w:sz w:val="20"/>
              </w:rPr>
              <w:t>Page 12</w:t>
            </w:r>
          </w:p>
        </w:tc>
        <w:tc>
          <w:tcPr>
            <w:tcW w:w="3420" w:type="dxa"/>
            <w:shd w:val="clear" w:color="auto" w:fill="EEECE1" w:themeFill="background2"/>
          </w:tcPr>
          <w:p w14:paraId="1DD1E585" w14:textId="338C7F6A" w:rsidR="004436D3" w:rsidRPr="00557E98" w:rsidRDefault="004436D3" w:rsidP="002D7075">
            <w:pPr>
              <w:rPr>
                <w:rFonts w:cs="Arial"/>
                <w:b/>
                <w:bCs/>
                <w:sz w:val="20"/>
              </w:rPr>
            </w:pPr>
            <w:r w:rsidRPr="00557E98">
              <w:rPr>
                <w:rFonts w:cs="Arial"/>
                <w:b/>
                <w:bCs/>
                <w:sz w:val="20"/>
              </w:rPr>
              <w:t>Regarding item 1.4.3 about source code escrow, would this apply to a SaaS provider? We understand that this typically only applies to an on-premises solution.</w:t>
            </w:r>
          </w:p>
        </w:tc>
        <w:tc>
          <w:tcPr>
            <w:tcW w:w="5490" w:type="dxa"/>
            <w:shd w:val="clear" w:color="auto" w:fill="EEECE1" w:themeFill="background2"/>
          </w:tcPr>
          <w:p w14:paraId="185EF45D" w14:textId="2068C6D4" w:rsidR="004436D3" w:rsidRPr="00557E98" w:rsidRDefault="004436D3" w:rsidP="002D7075">
            <w:pPr>
              <w:spacing w:after="160"/>
              <w:rPr>
                <w:rFonts w:cs="Arial"/>
                <w:b/>
                <w:bCs/>
                <w:sz w:val="20"/>
              </w:rPr>
            </w:pPr>
            <w:r w:rsidRPr="00557E98">
              <w:rPr>
                <w:rFonts w:cs="Arial"/>
                <w:b/>
                <w:bCs/>
                <w:sz w:val="20"/>
              </w:rPr>
              <w:t>ETF believes the source code escrow request applies to both on-premise and SaaS offerings.</w:t>
            </w:r>
            <w:r>
              <w:rPr>
                <w:rFonts w:cs="Arial"/>
                <w:b/>
                <w:bCs/>
                <w:sz w:val="20"/>
              </w:rPr>
              <w:t xml:space="preserve"> </w:t>
            </w:r>
          </w:p>
        </w:tc>
      </w:tr>
      <w:tr w:rsidR="004436D3" w:rsidRPr="00FF7CE0" w14:paraId="4A4F70D2" w14:textId="77777777" w:rsidTr="00AC3150">
        <w:tc>
          <w:tcPr>
            <w:tcW w:w="720" w:type="dxa"/>
            <w:shd w:val="clear" w:color="auto" w:fill="DBE5F1" w:themeFill="accent1" w:themeFillTint="33"/>
          </w:tcPr>
          <w:p w14:paraId="233F3B87" w14:textId="5AD680F1" w:rsidR="004436D3" w:rsidRPr="00FF7CE0" w:rsidRDefault="004436D3" w:rsidP="002D7075">
            <w:pPr>
              <w:spacing w:after="160"/>
              <w:jc w:val="both"/>
              <w:rPr>
                <w:rFonts w:eastAsia="Calibri" w:cs="Arial"/>
                <w:b/>
                <w:bCs/>
                <w:sz w:val="20"/>
              </w:rPr>
            </w:pPr>
            <w:bookmarkStart w:id="55" w:name="_Hlk35849459"/>
            <w:r w:rsidRPr="00FF7CE0">
              <w:rPr>
                <w:rFonts w:eastAsia="Calibri" w:cs="Arial"/>
                <w:b/>
                <w:bCs/>
                <w:sz w:val="20"/>
              </w:rPr>
              <w:t>Q117</w:t>
            </w:r>
          </w:p>
        </w:tc>
        <w:tc>
          <w:tcPr>
            <w:tcW w:w="1710" w:type="dxa"/>
            <w:shd w:val="clear" w:color="auto" w:fill="DBE5F1" w:themeFill="accent1" w:themeFillTint="33"/>
          </w:tcPr>
          <w:p w14:paraId="4BDB665C" w14:textId="37CC65B5" w:rsidR="004436D3" w:rsidRPr="00FF7CE0" w:rsidRDefault="004436D3" w:rsidP="002D7075">
            <w:pPr>
              <w:spacing w:before="120" w:after="120"/>
              <w:rPr>
                <w:rFonts w:cs="Arial"/>
                <w:b/>
                <w:bCs/>
                <w:sz w:val="20"/>
              </w:rPr>
            </w:pPr>
            <w:r w:rsidRPr="00FF7CE0">
              <w:rPr>
                <w:rFonts w:cs="Arial"/>
                <w:b/>
                <w:bCs/>
                <w:sz w:val="20"/>
              </w:rPr>
              <w:t>RFP</w:t>
            </w:r>
          </w:p>
        </w:tc>
        <w:tc>
          <w:tcPr>
            <w:tcW w:w="1710" w:type="dxa"/>
            <w:shd w:val="clear" w:color="auto" w:fill="DBE5F1" w:themeFill="accent1" w:themeFillTint="33"/>
          </w:tcPr>
          <w:p w14:paraId="3AF2B9BA" w14:textId="146F7B55" w:rsidR="004436D3" w:rsidRPr="00FF7CE0" w:rsidRDefault="004436D3" w:rsidP="002D7075">
            <w:pPr>
              <w:spacing w:after="160"/>
              <w:jc w:val="both"/>
              <w:rPr>
                <w:rFonts w:cs="Arial"/>
                <w:b/>
                <w:bCs/>
                <w:sz w:val="20"/>
              </w:rPr>
            </w:pPr>
            <w:r w:rsidRPr="00FF7CE0">
              <w:rPr>
                <w:rFonts w:cs="Arial"/>
                <w:b/>
                <w:bCs/>
                <w:sz w:val="20"/>
              </w:rPr>
              <w:t>Page 5</w:t>
            </w:r>
          </w:p>
        </w:tc>
        <w:tc>
          <w:tcPr>
            <w:tcW w:w="3420" w:type="dxa"/>
            <w:shd w:val="clear" w:color="auto" w:fill="DBE5F1" w:themeFill="accent1" w:themeFillTint="33"/>
          </w:tcPr>
          <w:p w14:paraId="0CCBFA67" w14:textId="345A5644" w:rsidR="004436D3" w:rsidRPr="00FF7CE0" w:rsidRDefault="004436D3" w:rsidP="002D7075">
            <w:pPr>
              <w:rPr>
                <w:rFonts w:cs="Arial"/>
                <w:b/>
                <w:bCs/>
                <w:sz w:val="20"/>
              </w:rPr>
            </w:pPr>
            <w:r w:rsidRPr="00FF7CE0">
              <w:rPr>
                <w:rFonts w:cs="Arial"/>
                <w:b/>
                <w:bCs/>
                <w:sz w:val="20"/>
              </w:rPr>
              <w:t>From which system would data regarding the Sick Leave Conversion Credit originate? Is it stored in the HRIS or payroll system, or would it be another third-party system?</w:t>
            </w:r>
          </w:p>
        </w:tc>
        <w:tc>
          <w:tcPr>
            <w:tcW w:w="5490" w:type="dxa"/>
            <w:shd w:val="clear" w:color="auto" w:fill="DBE5F1" w:themeFill="accent1" w:themeFillTint="33"/>
          </w:tcPr>
          <w:p w14:paraId="2C70A8C7" w14:textId="6C5585B7" w:rsidR="004436D3" w:rsidRPr="00FF7CE0" w:rsidRDefault="004436D3" w:rsidP="00FF7CE0">
            <w:pPr>
              <w:spacing w:after="160"/>
              <w:rPr>
                <w:b/>
                <w:bCs/>
                <w:color w:val="000000"/>
                <w:sz w:val="20"/>
              </w:rPr>
            </w:pPr>
            <w:r>
              <w:rPr>
                <w:b/>
                <w:bCs/>
                <w:color w:val="000000"/>
                <w:sz w:val="20"/>
              </w:rPr>
              <w:t>Currently</w:t>
            </w:r>
            <w:r w:rsidRPr="00FF7CE0">
              <w:rPr>
                <w:b/>
                <w:bCs/>
                <w:color w:val="000000"/>
                <w:sz w:val="20"/>
              </w:rPr>
              <w:t xml:space="preserve">, the sick leave hours themselves, along with certain other relevant pieces of data needed to calculate the sick leave account values for eligible employees exist solely in employer payroll systems. Employers manually enter that information into AcSL, ETF’s existing sick leave system. </w:t>
            </w:r>
          </w:p>
          <w:p w14:paraId="3AE4469F" w14:textId="78261350" w:rsidR="004436D3" w:rsidRPr="00FF7CE0" w:rsidRDefault="004436D3" w:rsidP="00FF7CE0">
            <w:pPr>
              <w:spacing w:after="160"/>
              <w:rPr>
                <w:b/>
                <w:bCs/>
                <w:color w:val="000000"/>
                <w:sz w:val="20"/>
              </w:rPr>
            </w:pPr>
            <w:r w:rsidRPr="00FF7CE0">
              <w:rPr>
                <w:b/>
                <w:bCs/>
                <w:color w:val="000000"/>
                <w:sz w:val="20"/>
              </w:rPr>
              <w:lastRenderedPageBreak/>
              <w:t xml:space="preserve">AcSL then calculates and maintains the Sick Leave Conversion Credit account values. </w:t>
            </w:r>
          </w:p>
          <w:p w14:paraId="0851EF21" w14:textId="32530AC6" w:rsidR="004436D3" w:rsidRPr="003E3E2E" w:rsidRDefault="004436D3" w:rsidP="002D7075">
            <w:pPr>
              <w:spacing w:after="160"/>
              <w:rPr>
                <w:b/>
                <w:bCs/>
                <w:color w:val="000000"/>
                <w:sz w:val="20"/>
              </w:rPr>
            </w:pPr>
            <w:r w:rsidRPr="00FF7CE0">
              <w:rPr>
                <w:b/>
                <w:bCs/>
                <w:color w:val="000000"/>
                <w:sz w:val="20"/>
              </w:rPr>
              <w:t>See the response</w:t>
            </w:r>
            <w:r>
              <w:rPr>
                <w:b/>
                <w:bCs/>
                <w:color w:val="000000"/>
                <w:sz w:val="20"/>
              </w:rPr>
              <w:t>s</w:t>
            </w:r>
            <w:r w:rsidRPr="00FF7CE0">
              <w:rPr>
                <w:b/>
                <w:bCs/>
                <w:color w:val="000000"/>
                <w:sz w:val="20"/>
              </w:rPr>
              <w:t xml:space="preserve"> to question</w:t>
            </w:r>
            <w:r>
              <w:rPr>
                <w:b/>
                <w:bCs/>
                <w:color w:val="000000"/>
                <w:sz w:val="20"/>
              </w:rPr>
              <w:t>s</w:t>
            </w:r>
            <w:r w:rsidRPr="00FF7CE0">
              <w:rPr>
                <w:b/>
                <w:bCs/>
                <w:color w:val="000000"/>
                <w:sz w:val="20"/>
              </w:rPr>
              <w:t xml:space="preserve"> Q55</w:t>
            </w:r>
            <w:r>
              <w:rPr>
                <w:b/>
                <w:bCs/>
                <w:color w:val="000000"/>
                <w:sz w:val="20"/>
              </w:rPr>
              <w:t xml:space="preserve"> and Q114</w:t>
            </w:r>
            <w:r w:rsidRPr="00FF7CE0">
              <w:rPr>
                <w:b/>
                <w:bCs/>
                <w:color w:val="000000"/>
                <w:sz w:val="20"/>
              </w:rPr>
              <w:t xml:space="preserve"> for more detail. </w:t>
            </w:r>
          </w:p>
        </w:tc>
      </w:tr>
      <w:bookmarkEnd w:id="55"/>
      <w:tr w:rsidR="004436D3" w:rsidRPr="0075618A" w14:paraId="565B3036" w14:textId="77777777" w:rsidTr="00AC3150">
        <w:tc>
          <w:tcPr>
            <w:tcW w:w="720" w:type="dxa"/>
            <w:shd w:val="clear" w:color="auto" w:fill="EEECE1" w:themeFill="background2"/>
          </w:tcPr>
          <w:p w14:paraId="668BB6C9" w14:textId="59089174" w:rsidR="004436D3" w:rsidRPr="0075618A" w:rsidRDefault="004436D3" w:rsidP="002D7075">
            <w:pPr>
              <w:spacing w:after="160"/>
              <w:jc w:val="both"/>
              <w:rPr>
                <w:rFonts w:eastAsia="Calibri" w:cs="Arial"/>
                <w:b/>
                <w:bCs/>
                <w:sz w:val="20"/>
              </w:rPr>
            </w:pPr>
            <w:r w:rsidRPr="0075618A">
              <w:rPr>
                <w:rFonts w:eastAsia="Calibri" w:cs="Arial"/>
                <w:b/>
                <w:bCs/>
                <w:sz w:val="20"/>
              </w:rPr>
              <w:lastRenderedPageBreak/>
              <w:t>Q118</w:t>
            </w:r>
          </w:p>
        </w:tc>
        <w:tc>
          <w:tcPr>
            <w:tcW w:w="1710" w:type="dxa"/>
            <w:shd w:val="clear" w:color="auto" w:fill="EEECE1" w:themeFill="background2"/>
          </w:tcPr>
          <w:p w14:paraId="18F03C07" w14:textId="3507CC78" w:rsidR="004436D3" w:rsidRPr="0075618A" w:rsidRDefault="004436D3" w:rsidP="002D7075">
            <w:pPr>
              <w:spacing w:after="160"/>
              <w:jc w:val="both"/>
              <w:rPr>
                <w:rFonts w:eastAsia="Calibri" w:cs="Arial"/>
                <w:b/>
                <w:bCs/>
                <w:sz w:val="20"/>
              </w:rPr>
            </w:pPr>
            <w:r w:rsidRPr="0075618A">
              <w:rPr>
                <w:rFonts w:cs="Arial"/>
                <w:b/>
                <w:bCs/>
                <w:sz w:val="20"/>
              </w:rPr>
              <w:t>Appendix 7</w:t>
            </w:r>
          </w:p>
        </w:tc>
        <w:tc>
          <w:tcPr>
            <w:tcW w:w="1710" w:type="dxa"/>
            <w:shd w:val="clear" w:color="auto" w:fill="EEECE1" w:themeFill="background2"/>
          </w:tcPr>
          <w:p w14:paraId="533B8772" w14:textId="073BEC57" w:rsidR="004436D3" w:rsidRPr="0075618A" w:rsidRDefault="004436D3" w:rsidP="002D7075">
            <w:pPr>
              <w:spacing w:after="160"/>
              <w:jc w:val="both"/>
              <w:rPr>
                <w:rFonts w:eastAsia="Calibri" w:cs="Arial"/>
                <w:b/>
                <w:bCs/>
                <w:sz w:val="20"/>
              </w:rPr>
            </w:pPr>
            <w:r w:rsidRPr="0075618A">
              <w:rPr>
                <w:rFonts w:cs="Arial"/>
                <w:b/>
                <w:bCs/>
                <w:sz w:val="20"/>
              </w:rPr>
              <w:t>1</w:t>
            </w:r>
          </w:p>
        </w:tc>
        <w:tc>
          <w:tcPr>
            <w:tcW w:w="3420" w:type="dxa"/>
            <w:shd w:val="clear" w:color="auto" w:fill="EEECE1" w:themeFill="background2"/>
          </w:tcPr>
          <w:p w14:paraId="20E689CB" w14:textId="77777777" w:rsidR="004436D3" w:rsidRPr="0075618A" w:rsidRDefault="004436D3" w:rsidP="002D7075">
            <w:pPr>
              <w:pStyle w:val="ListParagraph"/>
              <w:numPr>
                <w:ilvl w:val="0"/>
                <w:numId w:val="15"/>
              </w:numPr>
              <w:rPr>
                <w:rFonts w:cs="Arial"/>
                <w:b/>
                <w:bCs/>
                <w:sz w:val="20"/>
              </w:rPr>
            </w:pPr>
            <w:r w:rsidRPr="0075618A">
              <w:rPr>
                <w:rFonts w:cs="Arial"/>
                <w:b/>
                <w:bCs/>
                <w:sz w:val="20"/>
              </w:rPr>
              <w:t xml:space="preserve">In order to propose a fixed price for the required system, we believe it necessary to have a definitive set of requirements to which all bidders must comply. </w:t>
            </w:r>
          </w:p>
          <w:p w14:paraId="4740EF76" w14:textId="77777777" w:rsidR="004436D3" w:rsidRPr="0075618A" w:rsidRDefault="004436D3" w:rsidP="002D7075">
            <w:pPr>
              <w:pStyle w:val="ListParagraph"/>
              <w:numPr>
                <w:ilvl w:val="0"/>
                <w:numId w:val="15"/>
              </w:numPr>
              <w:rPr>
                <w:rFonts w:cs="Arial"/>
                <w:b/>
                <w:bCs/>
                <w:sz w:val="20"/>
              </w:rPr>
            </w:pPr>
            <w:r w:rsidRPr="0075618A">
              <w:rPr>
                <w:rFonts w:cs="Arial"/>
                <w:b/>
                <w:bCs/>
                <w:sz w:val="20"/>
              </w:rPr>
              <w:t xml:space="preserve">Appendix 7 asks for many descriptions of solution functionality but does not mandate specific standards.  For example, item #10 states in part, “Include details regarding tracking and maintaining versioning and multi-lingual content.” From this we cannot determine if multi-lingual content is required. If it is required, what languages must the solution support? </w:t>
            </w:r>
          </w:p>
          <w:p w14:paraId="212F5CFB" w14:textId="77777777" w:rsidR="004436D3" w:rsidRPr="0075618A" w:rsidRDefault="004436D3" w:rsidP="002D7075">
            <w:pPr>
              <w:pStyle w:val="ListParagraph"/>
              <w:numPr>
                <w:ilvl w:val="0"/>
                <w:numId w:val="15"/>
              </w:numPr>
              <w:rPr>
                <w:rFonts w:cs="Arial"/>
                <w:b/>
                <w:bCs/>
                <w:color w:val="000000"/>
                <w:sz w:val="20"/>
              </w:rPr>
            </w:pPr>
            <w:r w:rsidRPr="0075618A">
              <w:rPr>
                <w:rFonts w:cs="Arial"/>
                <w:b/>
                <w:bCs/>
                <w:color w:val="000000"/>
                <w:sz w:val="20"/>
              </w:rPr>
              <w:t>In many other requirements, the requirements end with “etc.” Should we assume that the requirement is not complete and that additional functionality may be requested after the project begins?</w:t>
            </w:r>
          </w:p>
          <w:p w14:paraId="2DC81561" w14:textId="310EDE3A" w:rsidR="004436D3" w:rsidRPr="0075618A" w:rsidRDefault="004436D3" w:rsidP="002D7075">
            <w:pPr>
              <w:pStyle w:val="ListParagraph"/>
              <w:numPr>
                <w:ilvl w:val="0"/>
                <w:numId w:val="15"/>
              </w:numPr>
              <w:spacing w:after="160"/>
              <w:jc w:val="both"/>
              <w:rPr>
                <w:rFonts w:eastAsia="Calibri" w:cs="Arial"/>
                <w:b/>
                <w:bCs/>
                <w:sz w:val="20"/>
              </w:rPr>
            </w:pPr>
            <w:r w:rsidRPr="0075618A">
              <w:rPr>
                <w:rFonts w:cs="Arial"/>
                <w:b/>
                <w:bCs/>
                <w:sz w:val="20"/>
              </w:rPr>
              <w:t xml:space="preserve">Can you provide some guidance on how to </w:t>
            </w:r>
            <w:r w:rsidRPr="0075618A">
              <w:rPr>
                <w:rFonts w:cs="Arial"/>
                <w:b/>
                <w:bCs/>
                <w:sz w:val="20"/>
              </w:rPr>
              <w:lastRenderedPageBreak/>
              <w:t xml:space="preserve">respond so that all parties can be assured that what is proposed is the limit to what must be provided?  </w:t>
            </w:r>
          </w:p>
        </w:tc>
        <w:tc>
          <w:tcPr>
            <w:tcW w:w="5490" w:type="dxa"/>
            <w:shd w:val="clear" w:color="auto" w:fill="EEECE1" w:themeFill="background2"/>
          </w:tcPr>
          <w:p w14:paraId="204FBEF3" w14:textId="081E98BD" w:rsidR="004436D3" w:rsidRPr="00AC3150" w:rsidRDefault="004436D3" w:rsidP="00AC3150">
            <w:pPr>
              <w:pStyle w:val="ListParagraph"/>
              <w:numPr>
                <w:ilvl w:val="1"/>
                <w:numId w:val="6"/>
              </w:numPr>
              <w:spacing w:before="120" w:after="120"/>
              <w:ind w:left="430"/>
              <w:rPr>
                <w:rFonts w:cs="Arial"/>
                <w:b/>
                <w:bCs/>
                <w:sz w:val="20"/>
              </w:rPr>
            </w:pPr>
            <w:r w:rsidRPr="00AC3150">
              <w:rPr>
                <w:rFonts w:cs="Arial"/>
                <w:b/>
                <w:bCs/>
                <w:sz w:val="20"/>
              </w:rPr>
              <w:lastRenderedPageBreak/>
              <w:t>There is no question stated here.</w:t>
            </w:r>
          </w:p>
          <w:p w14:paraId="462FC363" w14:textId="77777777" w:rsidR="004436D3" w:rsidRPr="0075618A" w:rsidRDefault="004436D3" w:rsidP="00FD4D2E">
            <w:pPr>
              <w:pStyle w:val="ListParagraph"/>
              <w:spacing w:before="120" w:after="120"/>
              <w:ind w:left="430"/>
              <w:rPr>
                <w:rFonts w:cs="Arial"/>
                <w:b/>
                <w:bCs/>
                <w:sz w:val="20"/>
              </w:rPr>
            </w:pPr>
          </w:p>
          <w:p w14:paraId="06A5642E" w14:textId="77777777" w:rsidR="004436D3" w:rsidRPr="0075618A" w:rsidRDefault="004436D3" w:rsidP="00AC3150">
            <w:pPr>
              <w:pStyle w:val="ListParagraph"/>
              <w:numPr>
                <w:ilvl w:val="1"/>
                <w:numId w:val="6"/>
              </w:numPr>
              <w:spacing w:before="120" w:after="120"/>
              <w:ind w:left="430"/>
              <w:rPr>
                <w:rFonts w:cs="Arial"/>
                <w:b/>
                <w:bCs/>
                <w:sz w:val="20"/>
              </w:rPr>
            </w:pPr>
            <w:r w:rsidRPr="0075618A">
              <w:rPr>
                <w:rFonts w:cs="Arial"/>
                <w:b/>
                <w:bCs/>
                <w:sz w:val="20"/>
              </w:rPr>
              <w:t>See response to question Q1 above.</w:t>
            </w:r>
          </w:p>
          <w:p w14:paraId="1200E8E5" w14:textId="77777777" w:rsidR="004436D3" w:rsidRPr="0075618A" w:rsidRDefault="004436D3" w:rsidP="00FD4D2E">
            <w:pPr>
              <w:pStyle w:val="ListParagraph"/>
              <w:rPr>
                <w:rFonts w:eastAsia="Calibri" w:cs="Arial"/>
                <w:b/>
                <w:bCs/>
                <w:sz w:val="20"/>
              </w:rPr>
            </w:pPr>
          </w:p>
          <w:p w14:paraId="1EFD974B" w14:textId="77777777" w:rsidR="004436D3" w:rsidRPr="0075618A" w:rsidRDefault="004436D3" w:rsidP="00AC3150">
            <w:pPr>
              <w:pStyle w:val="ListParagraph"/>
              <w:numPr>
                <w:ilvl w:val="1"/>
                <w:numId w:val="6"/>
              </w:numPr>
              <w:spacing w:before="120" w:after="120"/>
              <w:ind w:left="430"/>
              <w:rPr>
                <w:rFonts w:cs="Arial"/>
                <w:b/>
                <w:bCs/>
                <w:sz w:val="20"/>
              </w:rPr>
            </w:pPr>
            <w:r w:rsidRPr="0075618A">
              <w:rPr>
                <w:rFonts w:eastAsia="Calibri" w:cs="Arial"/>
                <w:b/>
                <w:bCs/>
                <w:sz w:val="20"/>
              </w:rPr>
              <w:t>The questions asked throughout the RFP and its appendices are designed to provide ETF with insight into the capabilities and functionality available as part of the Proposer’s core system solution. We are interested in how the Proposer’s system fundamentally works in relation to a variety of insurance related processes.</w:t>
            </w:r>
          </w:p>
          <w:p w14:paraId="01A1E07B" w14:textId="77777777" w:rsidR="004436D3" w:rsidRPr="0075618A" w:rsidRDefault="004436D3" w:rsidP="00FD4D2E">
            <w:pPr>
              <w:pStyle w:val="ListParagraph"/>
              <w:rPr>
                <w:rFonts w:eastAsia="Calibri" w:cs="Arial"/>
                <w:b/>
                <w:bCs/>
                <w:sz w:val="20"/>
              </w:rPr>
            </w:pPr>
          </w:p>
          <w:p w14:paraId="323C9C48" w14:textId="77777777" w:rsidR="00AC3150" w:rsidRDefault="004436D3" w:rsidP="00AC3150">
            <w:pPr>
              <w:pStyle w:val="ListParagraph"/>
              <w:spacing w:before="120" w:after="120"/>
              <w:ind w:left="430"/>
              <w:rPr>
                <w:rFonts w:eastAsia="Calibri" w:cs="Arial"/>
                <w:b/>
                <w:bCs/>
                <w:sz w:val="20"/>
              </w:rPr>
            </w:pPr>
            <w:r w:rsidRPr="0075618A">
              <w:rPr>
                <w:rFonts w:eastAsia="Calibri" w:cs="Arial"/>
                <w:b/>
                <w:bCs/>
                <w:sz w:val="20"/>
              </w:rPr>
              <w:t>ETF will select the Proposer whose system provides the capabilities that appear to best fit our business needs with minimal (preferably no) customization required. The intent is not to increase scope after the project starts but instead work with the vendor to utilize their best practices and knowledge to enable ETF to complete our required work (which may result in new processing methods and steps on our part) using the Proposer’s model and solution design.</w:t>
            </w:r>
          </w:p>
          <w:p w14:paraId="08E62503" w14:textId="77777777" w:rsidR="00AC3150" w:rsidRDefault="00AC3150" w:rsidP="00AC3150">
            <w:pPr>
              <w:pStyle w:val="ListParagraph"/>
              <w:spacing w:before="120" w:after="120"/>
              <w:ind w:left="430"/>
              <w:rPr>
                <w:rFonts w:eastAsia="Calibri" w:cs="Arial"/>
                <w:b/>
                <w:bCs/>
                <w:sz w:val="20"/>
              </w:rPr>
            </w:pPr>
          </w:p>
          <w:p w14:paraId="3C577A24" w14:textId="77777777" w:rsidR="00AC3150" w:rsidRDefault="004436D3" w:rsidP="00AC3150">
            <w:pPr>
              <w:pStyle w:val="ListParagraph"/>
              <w:numPr>
                <w:ilvl w:val="1"/>
                <w:numId w:val="6"/>
              </w:numPr>
              <w:spacing w:before="120" w:after="120"/>
              <w:ind w:left="430"/>
              <w:rPr>
                <w:rFonts w:eastAsia="Calibri" w:cs="Arial"/>
                <w:b/>
                <w:bCs/>
                <w:sz w:val="20"/>
              </w:rPr>
            </w:pPr>
            <w:r w:rsidRPr="00AC3150">
              <w:rPr>
                <w:rFonts w:eastAsia="Calibri" w:cs="Arial"/>
                <w:b/>
                <w:bCs/>
                <w:sz w:val="20"/>
              </w:rPr>
              <w:t xml:space="preserve">See response to point c. above. </w:t>
            </w:r>
          </w:p>
          <w:p w14:paraId="1F8F1286" w14:textId="77777777" w:rsidR="00AC3150" w:rsidRDefault="00AC3150" w:rsidP="00AC3150">
            <w:pPr>
              <w:pStyle w:val="ListParagraph"/>
              <w:spacing w:before="120" w:after="120"/>
              <w:ind w:left="430"/>
              <w:rPr>
                <w:rFonts w:eastAsia="Calibri" w:cs="Arial"/>
                <w:b/>
                <w:bCs/>
                <w:sz w:val="20"/>
              </w:rPr>
            </w:pPr>
          </w:p>
          <w:p w14:paraId="70145058" w14:textId="02F58229" w:rsidR="004436D3" w:rsidRPr="00AC3150" w:rsidRDefault="004436D3" w:rsidP="00AC3150">
            <w:pPr>
              <w:pStyle w:val="ListParagraph"/>
              <w:spacing w:before="120" w:after="120"/>
              <w:ind w:left="430"/>
              <w:rPr>
                <w:rFonts w:eastAsia="Calibri" w:cs="Arial"/>
                <w:b/>
                <w:bCs/>
                <w:sz w:val="20"/>
              </w:rPr>
            </w:pPr>
            <w:r w:rsidRPr="00AC3150">
              <w:rPr>
                <w:rFonts w:eastAsia="Calibri" w:cs="Arial"/>
                <w:b/>
                <w:bCs/>
                <w:sz w:val="20"/>
              </w:rPr>
              <w:t xml:space="preserve">It is not ETF’s intent to increase scope once the project begins nor to ask for items the Proposer has indicated in their proposal they cannot provide.  We recommend that Proposers provide detailed explanations regarding what their staff and solution can and cannot provide as a part of </w:t>
            </w:r>
            <w:r w:rsidRPr="00AC3150">
              <w:rPr>
                <w:rFonts w:eastAsia="Calibri" w:cs="Arial"/>
                <w:b/>
                <w:bCs/>
                <w:sz w:val="20"/>
              </w:rPr>
              <w:lastRenderedPageBreak/>
              <w:t>their core solution and offerings while answering the questions within this RFP.</w:t>
            </w:r>
          </w:p>
        </w:tc>
      </w:tr>
      <w:tr w:rsidR="004436D3" w:rsidRPr="00557E98" w14:paraId="0ED5428A" w14:textId="77777777" w:rsidTr="00AC3150">
        <w:tc>
          <w:tcPr>
            <w:tcW w:w="720" w:type="dxa"/>
            <w:shd w:val="clear" w:color="auto" w:fill="DBE5F1" w:themeFill="accent1" w:themeFillTint="33"/>
          </w:tcPr>
          <w:p w14:paraId="2CABFA32" w14:textId="50C82684" w:rsidR="004436D3" w:rsidRPr="00557E98" w:rsidRDefault="004436D3" w:rsidP="002D7075">
            <w:pPr>
              <w:spacing w:after="160"/>
              <w:jc w:val="both"/>
              <w:rPr>
                <w:rFonts w:eastAsia="Calibri" w:cs="Arial"/>
                <w:b/>
                <w:bCs/>
                <w:sz w:val="20"/>
              </w:rPr>
            </w:pPr>
            <w:r w:rsidRPr="00557E98">
              <w:rPr>
                <w:rFonts w:eastAsia="Calibri" w:cs="Arial"/>
                <w:b/>
                <w:bCs/>
                <w:sz w:val="20"/>
              </w:rPr>
              <w:lastRenderedPageBreak/>
              <w:t>Q119</w:t>
            </w:r>
          </w:p>
        </w:tc>
        <w:tc>
          <w:tcPr>
            <w:tcW w:w="1710" w:type="dxa"/>
            <w:shd w:val="clear" w:color="auto" w:fill="DBE5F1" w:themeFill="accent1" w:themeFillTint="33"/>
          </w:tcPr>
          <w:p w14:paraId="5CAA225C" w14:textId="6CF8CD8B" w:rsidR="004436D3" w:rsidRPr="00557E98" w:rsidRDefault="004436D3" w:rsidP="002D7075">
            <w:pPr>
              <w:spacing w:after="160"/>
              <w:jc w:val="both"/>
              <w:rPr>
                <w:rFonts w:eastAsia="Calibri" w:cs="Arial"/>
                <w:b/>
                <w:bCs/>
                <w:sz w:val="20"/>
              </w:rPr>
            </w:pPr>
            <w:r w:rsidRPr="00557E98">
              <w:rPr>
                <w:rFonts w:cs="Arial"/>
                <w:b/>
                <w:bCs/>
                <w:sz w:val="20"/>
              </w:rPr>
              <w:t>Appendix 5 – Table</w:t>
            </w:r>
          </w:p>
        </w:tc>
        <w:tc>
          <w:tcPr>
            <w:tcW w:w="1710" w:type="dxa"/>
            <w:shd w:val="clear" w:color="auto" w:fill="DBE5F1" w:themeFill="accent1" w:themeFillTint="33"/>
          </w:tcPr>
          <w:p w14:paraId="05F5073B" w14:textId="1FF23F17" w:rsidR="004436D3" w:rsidRPr="00557E98" w:rsidRDefault="004436D3" w:rsidP="002D7075">
            <w:pPr>
              <w:spacing w:after="160"/>
              <w:jc w:val="both"/>
              <w:rPr>
                <w:rFonts w:eastAsia="Calibri" w:cs="Arial"/>
                <w:b/>
                <w:bCs/>
                <w:sz w:val="20"/>
              </w:rPr>
            </w:pPr>
            <w:r w:rsidRPr="00557E98">
              <w:rPr>
                <w:rFonts w:cs="Arial"/>
                <w:b/>
                <w:bCs/>
                <w:sz w:val="20"/>
              </w:rPr>
              <w:t>1</w:t>
            </w:r>
          </w:p>
        </w:tc>
        <w:tc>
          <w:tcPr>
            <w:tcW w:w="3420" w:type="dxa"/>
            <w:shd w:val="clear" w:color="auto" w:fill="DBE5F1" w:themeFill="accent1" w:themeFillTint="33"/>
          </w:tcPr>
          <w:p w14:paraId="242313D0" w14:textId="2B6B16EB" w:rsidR="004436D3" w:rsidRPr="00557E98" w:rsidRDefault="004436D3" w:rsidP="002D7075">
            <w:pPr>
              <w:spacing w:after="160"/>
              <w:jc w:val="both"/>
              <w:rPr>
                <w:rFonts w:eastAsia="Calibri" w:cs="Arial"/>
                <w:b/>
                <w:bCs/>
                <w:sz w:val="20"/>
              </w:rPr>
            </w:pPr>
            <w:r w:rsidRPr="00557E98">
              <w:rPr>
                <w:rFonts w:cs="Arial"/>
                <w:b/>
                <w:bCs/>
                <w:sz w:val="20"/>
              </w:rPr>
              <w:t xml:space="preserve">Where are the ‘contractual deliverables’ referenced in D11 listed with the percentage of the contract to be paid for those deliverables?  </w:t>
            </w:r>
          </w:p>
        </w:tc>
        <w:tc>
          <w:tcPr>
            <w:tcW w:w="5490" w:type="dxa"/>
            <w:shd w:val="clear" w:color="auto" w:fill="DBE5F1" w:themeFill="accent1" w:themeFillTint="33"/>
          </w:tcPr>
          <w:p w14:paraId="12ACEB8D" w14:textId="577FFEE0" w:rsidR="004436D3" w:rsidRPr="00557E98" w:rsidRDefault="004436D3" w:rsidP="00557E98">
            <w:pPr>
              <w:spacing w:after="160"/>
              <w:rPr>
                <w:rFonts w:eastAsia="Calibri" w:cs="Arial"/>
                <w:b/>
                <w:bCs/>
                <w:sz w:val="20"/>
              </w:rPr>
            </w:pPr>
            <w:r w:rsidRPr="00557E98">
              <w:rPr>
                <w:rFonts w:eastAsia="Calibri" w:cs="Arial"/>
                <w:b/>
                <w:bCs/>
                <w:sz w:val="20"/>
              </w:rPr>
              <w:t>ETF is not providing a predefined set of payment points for this project. Rather, we are allowing proposers to provide their suggested/preferred payment points or milestone payment schedule along with their proposals. ETF may wish to negotiate with the winning proposer regarding the payment point schedule as a part of contract negotiations.</w:t>
            </w:r>
          </w:p>
        </w:tc>
      </w:tr>
      <w:tr w:rsidR="004436D3" w:rsidRPr="00557E98" w14:paraId="1BEA4EB7" w14:textId="77777777" w:rsidTr="00AC3150">
        <w:tc>
          <w:tcPr>
            <w:tcW w:w="720" w:type="dxa"/>
            <w:shd w:val="clear" w:color="auto" w:fill="EEECE1" w:themeFill="background2"/>
          </w:tcPr>
          <w:p w14:paraId="422DDBFF" w14:textId="46990969" w:rsidR="004436D3" w:rsidRPr="00557E98" w:rsidRDefault="004436D3" w:rsidP="002D7075">
            <w:pPr>
              <w:spacing w:after="160"/>
              <w:jc w:val="both"/>
              <w:rPr>
                <w:rFonts w:eastAsia="Calibri" w:cs="Arial"/>
                <w:b/>
                <w:bCs/>
                <w:sz w:val="20"/>
              </w:rPr>
            </w:pPr>
            <w:r w:rsidRPr="00557E98">
              <w:rPr>
                <w:rFonts w:eastAsia="Calibri" w:cs="Arial"/>
                <w:b/>
                <w:bCs/>
                <w:sz w:val="20"/>
              </w:rPr>
              <w:t>Q120</w:t>
            </w:r>
          </w:p>
        </w:tc>
        <w:tc>
          <w:tcPr>
            <w:tcW w:w="1710" w:type="dxa"/>
            <w:shd w:val="clear" w:color="auto" w:fill="EEECE1" w:themeFill="background2"/>
          </w:tcPr>
          <w:p w14:paraId="745D9249" w14:textId="77F8EBA0" w:rsidR="004436D3" w:rsidRPr="00557E98" w:rsidRDefault="004436D3" w:rsidP="002D7075">
            <w:pPr>
              <w:spacing w:after="160"/>
              <w:jc w:val="both"/>
              <w:rPr>
                <w:rFonts w:cs="Arial"/>
                <w:b/>
                <w:bCs/>
                <w:sz w:val="20"/>
              </w:rPr>
            </w:pPr>
            <w:r w:rsidRPr="00557E98">
              <w:rPr>
                <w:rFonts w:cs="Arial"/>
                <w:b/>
                <w:bCs/>
                <w:sz w:val="20"/>
              </w:rPr>
              <w:t>1.21</w:t>
            </w:r>
          </w:p>
        </w:tc>
        <w:tc>
          <w:tcPr>
            <w:tcW w:w="1710" w:type="dxa"/>
            <w:shd w:val="clear" w:color="auto" w:fill="EEECE1" w:themeFill="background2"/>
          </w:tcPr>
          <w:p w14:paraId="44C1F3C1" w14:textId="23744BFE" w:rsidR="004436D3" w:rsidRPr="00557E98" w:rsidRDefault="004436D3" w:rsidP="002D7075">
            <w:pPr>
              <w:spacing w:after="160"/>
              <w:jc w:val="both"/>
              <w:rPr>
                <w:rFonts w:cs="Arial"/>
                <w:b/>
                <w:bCs/>
                <w:sz w:val="20"/>
              </w:rPr>
            </w:pPr>
            <w:r w:rsidRPr="00557E98">
              <w:rPr>
                <w:rFonts w:cs="Arial"/>
                <w:b/>
                <w:bCs/>
                <w:sz w:val="20"/>
              </w:rPr>
              <w:t>4</w:t>
            </w:r>
          </w:p>
        </w:tc>
        <w:tc>
          <w:tcPr>
            <w:tcW w:w="3420" w:type="dxa"/>
            <w:shd w:val="clear" w:color="auto" w:fill="EEECE1" w:themeFill="background2"/>
          </w:tcPr>
          <w:p w14:paraId="5FB1090E" w14:textId="3F941448" w:rsidR="004436D3" w:rsidRPr="00557E98" w:rsidRDefault="004436D3" w:rsidP="002D7075">
            <w:pPr>
              <w:spacing w:after="160"/>
              <w:jc w:val="both"/>
              <w:rPr>
                <w:rFonts w:cs="Arial"/>
                <w:b/>
                <w:bCs/>
                <w:sz w:val="20"/>
              </w:rPr>
            </w:pPr>
            <w:r w:rsidRPr="00557E98">
              <w:rPr>
                <w:rFonts w:cs="Arial"/>
                <w:b/>
                <w:bCs/>
                <w:sz w:val="20"/>
              </w:rPr>
              <w:t>Is an existing stand-alone IAS being replaced by this system or is the IAS functionality a subset of a larger legacy system?</w:t>
            </w:r>
          </w:p>
        </w:tc>
        <w:tc>
          <w:tcPr>
            <w:tcW w:w="5490" w:type="dxa"/>
            <w:shd w:val="clear" w:color="auto" w:fill="EEECE1" w:themeFill="background2"/>
          </w:tcPr>
          <w:p w14:paraId="785CD1D2" w14:textId="67B15C97" w:rsidR="004436D3" w:rsidRPr="00557E98" w:rsidRDefault="004436D3" w:rsidP="00065460">
            <w:pPr>
              <w:spacing w:after="160"/>
              <w:rPr>
                <w:rFonts w:eastAsia="Calibri" w:cs="Arial"/>
                <w:b/>
                <w:bCs/>
                <w:sz w:val="20"/>
              </w:rPr>
            </w:pPr>
            <w:r w:rsidRPr="00557E98">
              <w:rPr>
                <w:rFonts w:eastAsia="Calibri" w:cs="Arial"/>
                <w:b/>
                <w:bCs/>
                <w:sz w:val="20"/>
              </w:rPr>
              <w:t>ETF currently maintains 17 legacy applications. As a part of our modernization plan, these legacy systems are being replaced in logical chunks as part of a larger best-of-breed approach.  The IAS functionality being requested in this RFP will replace a subset of ETF’s 17 legacy applications and will integrate with current and future systems as the modernization effort continues.</w:t>
            </w:r>
          </w:p>
        </w:tc>
      </w:tr>
      <w:tr w:rsidR="004436D3" w:rsidRPr="00FD3EE3" w14:paraId="0006620B" w14:textId="77777777" w:rsidTr="00AC3150">
        <w:tc>
          <w:tcPr>
            <w:tcW w:w="720" w:type="dxa"/>
            <w:shd w:val="clear" w:color="auto" w:fill="DBE5F1" w:themeFill="accent1" w:themeFillTint="33"/>
          </w:tcPr>
          <w:p w14:paraId="30870C02" w14:textId="4AC21592" w:rsidR="004436D3" w:rsidRPr="00FD3EE3" w:rsidRDefault="004436D3" w:rsidP="002D7075">
            <w:pPr>
              <w:spacing w:after="160"/>
              <w:jc w:val="both"/>
              <w:rPr>
                <w:rFonts w:eastAsia="Calibri" w:cs="Arial"/>
                <w:b/>
                <w:bCs/>
                <w:sz w:val="20"/>
              </w:rPr>
            </w:pPr>
            <w:r w:rsidRPr="00FD3EE3">
              <w:rPr>
                <w:rFonts w:eastAsia="Calibri" w:cs="Arial"/>
                <w:b/>
                <w:bCs/>
                <w:sz w:val="20"/>
              </w:rPr>
              <w:t>Q121</w:t>
            </w:r>
          </w:p>
        </w:tc>
        <w:tc>
          <w:tcPr>
            <w:tcW w:w="1710" w:type="dxa"/>
            <w:shd w:val="clear" w:color="auto" w:fill="DBE5F1" w:themeFill="accent1" w:themeFillTint="33"/>
          </w:tcPr>
          <w:p w14:paraId="47E46831" w14:textId="0CE87910" w:rsidR="004436D3" w:rsidRPr="00FD3EE3" w:rsidRDefault="004436D3" w:rsidP="002D7075">
            <w:pPr>
              <w:spacing w:after="160"/>
              <w:jc w:val="both"/>
              <w:rPr>
                <w:rFonts w:cs="Arial"/>
                <w:b/>
                <w:bCs/>
                <w:sz w:val="20"/>
              </w:rPr>
            </w:pPr>
            <w:r w:rsidRPr="00FD3EE3">
              <w:rPr>
                <w:rFonts w:cs="Arial"/>
                <w:b/>
                <w:bCs/>
                <w:sz w:val="20"/>
              </w:rPr>
              <w:t>1.21</w:t>
            </w:r>
          </w:p>
        </w:tc>
        <w:tc>
          <w:tcPr>
            <w:tcW w:w="1710" w:type="dxa"/>
            <w:shd w:val="clear" w:color="auto" w:fill="DBE5F1" w:themeFill="accent1" w:themeFillTint="33"/>
          </w:tcPr>
          <w:p w14:paraId="207DF3DF" w14:textId="4D7901A0" w:rsidR="004436D3" w:rsidRPr="00FD3EE3" w:rsidRDefault="004436D3" w:rsidP="002D7075">
            <w:pPr>
              <w:spacing w:after="160"/>
              <w:jc w:val="both"/>
              <w:rPr>
                <w:rFonts w:cs="Arial"/>
                <w:b/>
                <w:bCs/>
                <w:sz w:val="20"/>
              </w:rPr>
            </w:pPr>
            <w:r w:rsidRPr="00FD3EE3">
              <w:rPr>
                <w:rFonts w:cs="Arial"/>
                <w:b/>
                <w:bCs/>
                <w:sz w:val="20"/>
              </w:rPr>
              <w:t>4</w:t>
            </w:r>
          </w:p>
        </w:tc>
        <w:tc>
          <w:tcPr>
            <w:tcW w:w="3420" w:type="dxa"/>
            <w:shd w:val="clear" w:color="auto" w:fill="DBE5F1" w:themeFill="accent1" w:themeFillTint="33"/>
          </w:tcPr>
          <w:p w14:paraId="36403469" w14:textId="77777777" w:rsidR="004436D3" w:rsidRPr="00FD3EE3" w:rsidRDefault="004436D3" w:rsidP="002D7075">
            <w:pPr>
              <w:pStyle w:val="ListParagraph"/>
              <w:numPr>
                <w:ilvl w:val="0"/>
                <w:numId w:val="16"/>
              </w:numPr>
              <w:rPr>
                <w:rFonts w:cs="Arial"/>
                <w:b/>
                <w:bCs/>
                <w:sz w:val="20"/>
              </w:rPr>
            </w:pPr>
            <w:r w:rsidRPr="00FD3EE3">
              <w:rPr>
                <w:rFonts w:cs="Arial"/>
                <w:b/>
                <w:bCs/>
                <w:sz w:val="20"/>
              </w:rPr>
              <w:t xml:space="preserve">Can you describe the legacy data stores?  </w:t>
            </w:r>
          </w:p>
          <w:p w14:paraId="58277F74" w14:textId="77777777" w:rsidR="004436D3" w:rsidRPr="00FD3EE3" w:rsidRDefault="004436D3" w:rsidP="002D7075">
            <w:pPr>
              <w:pStyle w:val="ListParagraph"/>
              <w:numPr>
                <w:ilvl w:val="0"/>
                <w:numId w:val="16"/>
              </w:numPr>
              <w:rPr>
                <w:rFonts w:cs="Arial"/>
                <w:b/>
                <w:bCs/>
                <w:sz w:val="20"/>
              </w:rPr>
            </w:pPr>
            <w:r w:rsidRPr="00FD3EE3">
              <w:rPr>
                <w:rFonts w:cs="Arial"/>
                <w:b/>
                <w:bCs/>
                <w:sz w:val="20"/>
              </w:rPr>
              <w:t>Is the data in a single database or in multiple data bases?</w:t>
            </w:r>
          </w:p>
          <w:p w14:paraId="7E5160C6" w14:textId="77777777" w:rsidR="004436D3" w:rsidRPr="00FD3EE3" w:rsidRDefault="004436D3" w:rsidP="002D7075">
            <w:pPr>
              <w:pStyle w:val="ListParagraph"/>
              <w:numPr>
                <w:ilvl w:val="0"/>
                <w:numId w:val="16"/>
              </w:numPr>
              <w:rPr>
                <w:rFonts w:cs="Arial"/>
                <w:b/>
                <w:bCs/>
                <w:sz w:val="20"/>
              </w:rPr>
            </w:pPr>
            <w:r w:rsidRPr="00FD3EE3">
              <w:rPr>
                <w:rFonts w:cs="Arial"/>
                <w:b/>
                <w:bCs/>
                <w:sz w:val="20"/>
              </w:rPr>
              <w:t>Is the data shared with other systems?</w:t>
            </w:r>
          </w:p>
          <w:p w14:paraId="1B018436" w14:textId="12FA91C1" w:rsidR="004436D3" w:rsidRPr="00FD3EE3" w:rsidRDefault="004436D3" w:rsidP="002D7075">
            <w:pPr>
              <w:pStyle w:val="ListParagraph"/>
              <w:numPr>
                <w:ilvl w:val="0"/>
                <w:numId w:val="16"/>
              </w:numPr>
              <w:spacing w:after="160"/>
              <w:jc w:val="both"/>
              <w:rPr>
                <w:rFonts w:cs="Arial"/>
                <w:b/>
                <w:bCs/>
                <w:sz w:val="20"/>
              </w:rPr>
            </w:pPr>
            <w:r w:rsidRPr="00FD3EE3">
              <w:rPr>
                <w:rFonts w:cs="Arial"/>
                <w:b/>
                <w:bCs/>
                <w:sz w:val="20"/>
              </w:rPr>
              <w:t xml:space="preserve">When the IAS is implemented will all of its data be the source of truth for IAS or will it rely on data from the pension system or elsewhere? For example, where will the addresses be stored for individuals who are both members of the pension system and covered </w:t>
            </w:r>
            <w:r w:rsidRPr="00FD3EE3">
              <w:rPr>
                <w:rFonts w:cs="Arial"/>
                <w:b/>
                <w:bCs/>
                <w:sz w:val="20"/>
              </w:rPr>
              <w:lastRenderedPageBreak/>
              <w:t>employees in the insurance system?</w:t>
            </w:r>
          </w:p>
        </w:tc>
        <w:tc>
          <w:tcPr>
            <w:tcW w:w="5490" w:type="dxa"/>
            <w:shd w:val="clear" w:color="auto" w:fill="DBE5F1" w:themeFill="accent1" w:themeFillTint="33"/>
          </w:tcPr>
          <w:p w14:paraId="5C02FE1A" w14:textId="77777777" w:rsidR="004436D3" w:rsidRDefault="004436D3" w:rsidP="002D7075">
            <w:pPr>
              <w:spacing w:after="160"/>
              <w:rPr>
                <w:rFonts w:eastAsia="Calibri" w:cs="Arial"/>
                <w:b/>
                <w:bCs/>
                <w:sz w:val="20"/>
              </w:rPr>
            </w:pPr>
            <w:r w:rsidRPr="00D27667">
              <w:rPr>
                <w:rFonts w:eastAsia="Calibri" w:cs="Arial"/>
                <w:b/>
                <w:bCs/>
                <w:sz w:val="20"/>
              </w:rPr>
              <w:lastRenderedPageBreak/>
              <w:t xml:space="preserve">Most legacy data is housed in DB2 in a variety of tables.  Depending on the </w:t>
            </w:r>
            <w:r>
              <w:rPr>
                <w:rFonts w:eastAsia="Calibri" w:cs="Arial"/>
                <w:b/>
                <w:bCs/>
                <w:sz w:val="20"/>
              </w:rPr>
              <w:t>IAS</w:t>
            </w:r>
            <w:r w:rsidRPr="00D27667">
              <w:rPr>
                <w:rFonts w:eastAsia="Calibri" w:cs="Arial"/>
                <w:b/>
                <w:bCs/>
                <w:sz w:val="20"/>
              </w:rPr>
              <w:t xml:space="preserve"> capabilities and data conversion approach</w:t>
            </w:r>
            <w:r>
              <w:rPr>
                <w:rFonts w:eastAsia="Calibri" w:cs="Arial"/>
                <w:b/>
                <w:bCs/>
                <w:sz w:val="20"/>
              </w:rPr>
              <w:t>,</w:t>
            </w:r>
            <w:r w:rsidRPr="00D27667">
              <w:rPr>
                <w:rFonts w:eastAsia="Calibri" w:cs="Arial"/>
                <w:b/>
                <w:bCs/>
                <w:sz w:val="20"/>
              </w:rPr>
              <w:t xml:space="preserve"> there may be some data that will be loaded into </w:t>
            </w:r>
            <w:r>
              <w:rPr>
                <w:rFonts w:eastAsia="Calibri" w:cs="Arial"/>
                <w:b/>
                <w:bCs/>
                <w:sz w:val="20"/>
              </w:rPr>
              <w:t>the IAS</w:t>
            </w:r>
            <w:r w:rsidRPr="00D27667">
              <w:rPr>
                <w:rFonts w:eastAsia="Calibri" w:cs="Arial"/>
                <w:b/>
                <w:bCs/>
                <w:sz w:val="20"/>
              </w:rPr>
              <w:t xml:space="preserve"> from Access, SQL Server, or other data stores as well.  The DB2 data is shared with other systems.  </w:t>
            </w:r>
          </w:p>
          <w:p w14:paraId="63216AC9" w14:textId="77777777" w:rsidR="004436D3" w:rsidRDefault="004436D3" w:rsidP="002D7075">
            <w:pPr>
              <w:spacing w:after="160"/>
              <w:rPr>
                <w:rFonts w:eastAsia="Calibri" w:cs="Arial"/>
                <w:b/>
                <w:bCs/>
                <w:sz w:val="20"/>
              </w:rPr>
            </w:pPr>
            <w:r w:rsidRPr="00D27667">
              <w:rPr>
                <w:rFonts w:eastAsia="Calibri" w:cs="Arial"/>
                <w:b/>
                <w:bCs/>
                <w:sz w:val="20"/>
              </w:rPr>
              <w:t>The source of the truth for all common data that is utilized by multiple applications at ETF will be the Master Data Management (MDM) system.  To utilize the example provided, the source of the truth for addresses (since they are used by multiple systems) would be the MDM system.  The intent is to have the IAS and other systems feed data to the MDM and get 'golden' or 'master' data back (data that has been curated to create the best possible set of information).  </w:t>
            </w:r>
          </w:p>
          <w:p w14:paraId="3EBD522D" w14:textId="253A5B02" w:rsidR="004436D3" w:rsidRPr="00FD3EE3" w:rsidRDefault="004436D3" w:rsidP="002D7075">
            <w:pPr>
              <w:spacing w:after="160"/>
              <w:rPr>
                <w:rFonts w:eastAsia="Calibri" w:cs="Arial"/>
                <w:b/>
                <w:bCs/>
                <w:sz w:val="20"/>
              </w:rPr>
            </w:pPr>
            <w:r w:rsidRPr="00D27667">
              <w:rPr>
                <w:rFonts w:eastAsia="Calibri" w:cs="Arial"/>
                <w:b/>
                <w:bCs/>
                <w:sz w:val="20"/>
              </w:rPr>
              <w:lastRenderedPageBreak/>
              <w:t>For data that is solely utilized by the IAS, the IAS will be the source of the truth.</w:t>
            </w:r>
          </w:p>
        </w:tc>
      </w:tr>
      <w:tr w:rsidR="004436D3" w:rsidRPr="00973465" w14:paraId="23F902A5" w14:textId="77777777" w:rsidTr="00AC3150">
        <w:tc>
          <w:tcPr>
            <w:tcW w:w="720" w:type="dxa"/>
            <w:shd w:val="clear" w:color="auto" w:fill="EEECE1" w:themeFill="background2"/>
          </w:tcPr>
          <w:p w14:paraId="35B11DCD" w14:textId="4FC0744C" w:rsidR="004436D3" w:rsidRPr="00973465" w:rsidRDefault="004436D3" w:rsidP="002D7075">
            <w:pPr>
              <w:spacing w:after="160"/>
              <w:jc w:val="both"/>
              <w:rPr>
                <w:rFonts w:eastAsia="Calibri" w:cs="Arial"/>
                <w:b/>
                <w:bCs/>
                <w:sz w:val="20"/>
              </w:rPr>
            </w:pPr>
            <w:bookmarkStart w:id="56" w:name="_Hlk36016910"/>
            <w:r w:rsidRPr="00973465">
              <w:rPr>
                <w:rFonts w:eastAsia="Calibri" w:cs="Arial"/>
                <w:b/>
                <w:bCs/>
                <w:sz w:val="20"/>
              </w:rPr>
              <w:lastRenderedPageBreak/>
              <w:t>Q122</w:t>
            </w:r>
          </w:p>
        </w:tc>
        <w:tc>
          <w:tcPr>
            <w:tcW w:w="1710" w:type="dxa"/>
            <w:shd w:val="clear" w:color="auto" w:fill="EEECE1" w:themeFill="background2"/>
          </w:tcPr>
          <w:p w14:paraId="66D11B03" w14:textId="64552E31" w:rsidR="004436D3" w:rsidRPr="00973465" w:rsidRDefault="004436D3" w:rsidP="002D7075">
            <w:pPr>
              <w:spacing w:after="160"/>
              <w:jc w:val="both"/>
              <w:rPr>
                <w:rFonts w:eastAsia="Calibri" w:cs="Arial"/>
                <w:b/>
                <w:bCs/>
                <w:sz w:val="20"/>
              </w:rPr>
            </w:pPr>
            <w:r w:rsidRPr="00973465">
              <w:rPr>
                <w:rFonts w:cs="Arial"/>
                <w:b/>
                <w:bCs/>
                <w:sz w:val="20"/>
              </w:rPr>
              <w:t>Appendix 7</w:t>
            </w:r>
          </w:p>
        </w:tc>
        <w:tc>
          <w:tcPr>
            <w:tcW w:w="1710" w:type="dxa"/>
            <w:shd w:val="clear" w:color="auto" w:fill="EEECE1" w:themeFill="background2"/>
          </w:tcPr>
          <w:p w14:paraId="7F061E40" w14:textId="32D9ED8F" w:rsidR="004436D3" w:rsidRPr="00973465" w:rsidRDefault="004436D3" w:rsidP="002D7075">
            <w:pPr>
              <w:spacing w:after="160"/>
              <w:jc w:val="both"/>
              <w:rPr>
                <w:rFonts w:eastAsia="Calibri" w:cs="Arial"/>
                <w:b/>
                <w:bCs/>
                <w:sz w:val="20"/>
              </w:rPr>
            </w:pPr>
            <w:r w:rsidRPr="00973465">
              <w:rPr>
                <w:rFonts w:cs="Arial"/>
                <w:b/>
                <w:bCs/>
                <w:sz w:val="20"/>
              </w:rPr>
              <w:t>3</w:t>
            </w:r>
          </w:p>
        </w:tc>
        <w:tc>
          <w:tcPr>
            <w:tcW w:w="3420" w:type="dxa"/>
            <w:shd w:val="clear" w:color="auto" w:fill="EEECE1" w:themeFill="background2"/>
          </w:tcPr>
          <w:p w14:paraId="6D7B6608" w14:textId="77777777" w:rsidR="004436D3" w:rsidRPr="00973465" w:rsidRDefault="004436D3" w:rsidP="002D7075">
            <w:pPr>
              <w:pStyle w:val="ListParagraph"/>
              <w:numPr>
                <w:ilvl w:val="0"/>
                <w:numId w:val="17"/>
              </w:numPr>
              <w:rPr>
                <w:rFonts w:cs="Arial"/>
                <w:b/>
                <w:bCs/>
                <w:sz w:val="20"/>
              </w:rPr>
            </w:pPr>
            <w:r w:rsidRPr="00973465">
              <w:rPr>
                <w:rFonts w:cs="Arial"/>
                <w:b/>
                <w:bCs/>
                <w:sz w:val="20"/>
              </w:rPr>
              <w:t>Does your existing system have a single file format for employer reporting?</w:t>
            </w:r>
          </w:p>
          <w:p w14:paraId="28C36720" w14:textId="32062E01" w:rsidR="004436D3" w:rsidRPr="00973465" w:rsidRDefault="004436D3" w:rsidP="002D7075">
            <w:pPr>
              <w:pStyle w:val="ListParagraph"/>
              <w:numPr>
                <w:ilvl w:val="0"/>
                <w:numId w:val="17"/>
              </w:numPr>
              <w:spacing w:after="160"/>
              <w:jc w:val="both"/>
              <w:rPr>
                <w:rFonts w:eastAsia="Calibri" w:cs="Arial"/>
                <w:b/>
                <w:bCs/>
                <w:sz w:val="20"/>
              </w:rPr>
            </w:pPr>
            <w:r w:rsidRPr="00973465">
              <w:rPr>
                <w:rFonts w:cs="Arial"/>
                <w:b/>
                <w:bCs/>
                <w:sz w:val="20"/>
              </w:rPr>
              <w:t>Is employer reporting for insurance done independently of reporting for the pension administration system?</w:t>
            </w:r>
          </w:p>
        </w:tc>
        <w:tc>
          <w:tcPr>
            <w:tcW w:w="5490" w:type="dxa"/>
            <w:shd w:val="clear" w:color="auto" w:fill="EEECE1" w:themeFill="background2"/>
          </w:tcPr>
          <w:p w14:paraId="283D350A" w14:textId="65A90A99" w:rsidR="004436D3" w:rsidRPr="00973465" w:rsidRDefault="004436D3" w:rsidP="00C242F7">
            <w:pPr>
              <w:pStyle w:val="ListParagraph"/>
              <w:numPr>
                <w:ilvl w:val="0"/>
                <w:numId w:val="38"/>
              </w:numPr>
              <w:spacing w:after="160"/>
              <w:rPr>
                <w:rFonts w:eastAsia="Calibri" w:cs="Arial"/>
                <w:b/>
                <w:bCs/>
                <w:sz w:val="20"/>
              </w:rPr>
            </w:pPr>
            <w:r w:rsidRPr="00973465">
              <w:rPr>
                <w:rFonts w:eastAsia="Calibri" w:cs="Arial"/>
                <w:b/>
                <w:bCs/>
                <w:sz w:val="20"/>
              </w:rPr>
              <w:t xml:space="preserve">We utilize a single file format today for employers who utilize electronic insurance reporting.  </w:t>
            </w:r>
          </w:p>
          <w:p w14:paraId="34EFF040" w14:textId="77777777" w:rsidR="004436D3" w:rsidRPr="00973465" w:rsidRDefault="004436D3" w:rsidP="00C242F7">
            <w:pPr>
              <w:pStyle w:val="ListParagraph"/>
              <w:spacing w:after="160"/>
              <w:ind w:left="360"/>
              <w:rPr>
                <w:rFonts w:eastAsia="Calibri" w:cs="Arial"/>
                <w:b/>
                <w:bCs/>
                <w:sz w:val="20"/>
                <w:highlight w:val="yellow"/>
              </w:rPr>
            </w:pPr>
          </w:p>
          <w:p w14:paraId="4A0E5C55" w14:textId="28981704" w:rsidR="004436D3" w:rsidRPr="00973465" w:rsidRDefault="004436D3" w:rsidP="00C242F7">
            <w:pPr>
              <w:pStyle w:val="ListParagraph"/>
              <w:numPr>
                <w:ilvl w:val="0"/>
                <w:numId w:val="38"/>
              </w:numPr>
              <w:spacing w:after="160"/>
              <w:rPr>
                <w:rFonts w:eastAsia="Calibri" w:cs="Arial"/>
                <w:b/>
                <w:bCs/>
                <w:sz w:val="20"/>
              </w:rPr>
            </w:pPr>
            <w:r w:rsidRPr="00973465">
              <w:rPr>
                <w:rFonts w:eastAsia="Calibri" w:cs="Arial"/>
                <w:b/>
                <w:bCs/>
                <w:sz w:val="20"/>
              </w:rPr>
              <w:t xml:space="preserve">Yes, employer insurance reporting is currently independent of employer reporting for our existing legacy pension system. However, we are interested in any capabilities the Proposer’s system offers to streamline and integrate insurance reporting with other systems (e.g., legacy systems, TPA systems, future PAS, etc.) and employer reporting processes. </w:t>
            </w:r>
          </w:p>
        </w:tc>
      </w:tr>
      <w:bookmarkEnd w:id="56"/>
      <w:tr w:rsidR="004436D3" w:rsidRPr="00065460" w14:paraId="07DD0DEB" w14:textId="77777777" w:rsidTr="00AC3150">
        <w:tc>
          <w:tcPr>
            <w:tcW w:w="720" w:type="dxa"/>
            <w:shd w:val="clear" w:color="auto" w:fill="DBE5F1" w:themeFill="accent1" w:themeFillTint="33"/>
          </w:tcPr>
          <w:p w14:paraId="4D578661" w14:textId="21A512EB" w:rsidR="004436D3" w:rsidRPr="00065460" w:rsidRDefault="004436D3" w:rsidP="002D7075">
            <w:pPr>
              <w:spacing w:after="160"/>
              <w:jc w:val="both"/>
              <w:rPr>
                <w:rFonts w:eastAsia="Calibri" w:cs="Arial"/>
                <w:b/>
                <w:bCs/>
                <w:sz w:val="20"/>
              </w:rPr>
            </w:pPr>
            <w:r w:rsidRPr="00065460">
              <w:rPr>
                <w:rFonts w:eastAsia="Calibri" w:cs="Arial"/>
                <w:b/>
                <w:bCs/>
                <w:sz w:val="20"/>
              </w:rPr>
              <w:t>Q123</w:t>
            </w:r>
          </w:p>
        </w:tc>
        <w:tc>
          <w:tcPr>
            <w:tcW w:w="1710" w:type="dxa"/>
            <w:shd w:val="clear" w:color="auto" w:fill="DBE5F1" w:themeFill="accent1" w:themeFillTint="33"/>
          </w:tcPr>
          <w:p w14:paraId="31CB1DF7" w14:textId="5B7199CE" w:rsidR="004436D3" w:rsidRPr="00065460" w:rsidRDefault="004436D3" w:rsidP="002D7075">
            <w:pPr>
              <w:spacing w:after="160"/>
              <w:jc w:val="both"/>
              <w:rPr>
                <w:rFonts w:cs="Arial"/>
                <w:b/>
                <w:bCs/>
                <w:sz w:val="20"/>
              </w:rPr>
            </w:pPr>
            <w:r w:rsidRPr="00065460">
              <w:rPr>
                <w:rFonts w:cs="Arial"/>
                <w:b/>
                <w:bCs/>
                <w:sz w:val="20"/>
              </w:rPr>
              <w:t>Appendix 7</w:t>
            </w:r>
          </w:p>
        </w:tc>
        <w:tc>
          <w:tcPr>
            <w:tcW w:w="1710" w:type="dxa"/>
            <w:shd w:val="clear" w:color="auto" w:fill="DBE5F1" w:themeFill="accent1" w:themeFillTint="33"/>
          </w:tcPr>
          <w:p w14:paraId="584967B1" w14:textId="77777777" w:rsidR="004436D3" w:rsidRPr="00065460" w:rsidRDefault="004436D3" w:rsidP="002D7075">
            <w:pPr>
              <w:spacing w:after="160"/>
              <w:jc w:val="both"/>
              <w:rPr>
                <w:rFonts w:cs="Arial"/>
                <w:b/>
                <w:bCs/>
                <w:sz w:val="20"/>
              </w:rPr>
            </w:pPr>
          </w:p>
        </w:tc>
        <w:tc>
          <w:tcPr>
            <w:tcW w:w="3420" w:type="dxa"/>
            <w:shd w:val="clear" w:color="auto" w:fill="DBE5F1" w:themeFill="accent1" w:themeFillTint="33"/>
          </w:tcPr>
          <w:p w14:paraId="131BDEC6" w14:textId="30265086" w:rsidR="004436D3" w:rsidRPr="00065460" w:rsidRDefault="004436D3" w:rsidP="002D7075">
            <w:pPr>
              <w:rPr>
                <w:rFonts w:cs="Arial"/>
                <w:b/>
                <w:bCs/>
                <w:sz w:val="20"/>
              </w:rPr>
            </w:pPr>
            <w:r w:rsidRPr="00065460">
              <w:rPr>
                <w:rFonts w:cs="Arial"/>
                <w:b/>
                <w:bCs/>
                <w:sz w:val="20"/>
              </w:rPr>
              <w:t>For any requested functional description where we currently to do not provide such functionality but can develop it as a customization should we describe our ‘to be’ view of that functionality or simply note that it can be developed during the project?</w:t>
            </w:r>
          </w:p>
        </w:tc>
        <w:tc>
          <w:tcPr>
            <w:tcW w:w="5490" w:type="dxa"/>
            <w:shd w:val="clear" w:color="auto" w:fill="DBE5F1" w:themeFill="accent1" w:themeFillTint="33"/>
          </w:tcPr>
          <w:p w14:paraId="6B32686D" w14:textId="3FE8D8F1" w:rsidR="004436D3" w:rsidRPr="00065460" w:rsidRDefault="004436D3" w:rsidP="00070230">
            <w:pPr>
              <w:spacing w:after="160"/>
              <w:rPr>
                <w:rFonts w:eastAsia="Calibri" w:cs="Arial"/>
                <w:b/>
                <w:bCs/>
                <w:sz w:val="20"/>
              </w:rPr>
            </w:pPr>
            <w:r w:rsidRPr="00065460">
              <w:rPr>
                <w:rFonts w:eastAsia="Calibri" w:cs="Arial"/>
                <w:b/>
                <w:bCs/>
                <w:sz w:val="20"/>
              </w:rPr>
              <w:t>Proposers should note in their responses that the functionality in question is not a part of their core system but can be developed via customization efforts. Proposers are encouraged to provide some level of detail regarding their ‘to be’ view of that functionality so the agency can get an understanding of what is possible. Accordingly, the estimated costs of providing these customizations should be included in their submitted cost proposal.</w:t>
            </w:r>
          </w:p>
        </w:tc>
      </w:tr>
      <w:tr w:rsidR="004436D3" w:rsidRPr="00070230" w14:paraId="73151D5C" w14:textId="77777777" w:rsidTr="00AC3150">
        <w:tc>
          <w:tcPr>
            <w:tcW w:w="720" w:type="dxa"/>
            <w:shd w:val="clear" w:color="auto" w:fill="EEECE1" w:themeFill="background2"/>
          </w:tcPr>
          <w:p w14:paraId="3EA5DA22" w14:textId="32B23206" w:rsidR="004436D3" w:rsidRPr="00070230" w:rsidRDefault="004436D3" w:rsidP="002D7075">
            <w:pPr>
              <w:spacing w:after="160"/>
              <w:jc w:val="both"/>
              <w:rPr>
                <w:rFonts w:eastAsia="Calibri" w:cs="Arial"/>
                <w:b/>
                <w:bCs/>
                <w:sz w:val="20"/>
              </w:rPr>
            </w:pPr>
            <w:r w:rsidRPr="00070230">
              <w:rPr>
                <w:rFonts w:eastAsia="Calibri" w:cs="Arial"/>
                <w:b/>
                <w:bCs/>
                <w:sz w:val="20"/>
              </w:rPr>
              <w:t>Q124</w:t>
            </w:r>
          </w:p>
        </w:tc>
        <w:tc>
          <w:tcPr>
            <w:tcW w:w="1710" w:type="dxa"/>
            <w:shd w:val="clear" w:color="auto" w:fill="EEECE1" w:themeFill="background2"/>
          </w:tcPr>
          <w:p w14:paraId="59EA2BAD" w14:textId="77777777" w:rsidR="004436D3" w:rsidRPr="00070230" w:rsidRDefault="004436D3" w:rsidP="002D7075">
            <w:pPr>
              <w:spacing w:before="120" w:after="120"/>
              <w:rPr>
                <w:rFonts w:cs="Arial"/>
                <w:b/>
                <w:bCs/>
                <w:sz w:val="20"/>
              </w:rPr>
            </w:pPr>
            <w:r w:rsidRPr="00070230">
              <w:rPr>
                <w:rFonts w:cs="Arial"/>
                <w:b/>
                <w:bCs/>
                <w:sz w:val="20"/>
              </w:rPr>
              <w:t>Appendix 8</w:t>
            </w:r>
          </w:p>
          <w:p w14:paraId="7BAE2AC8" w14:textId="079A7E0B" w:rsidR="004436D3" w:rsidRPr="00070230" w:rsidRDefault="004436D3" w:rsidP="002D7075">
            <w:pPr>
              <w:spacing w:after="160"/>
              <w:jc w:val="both"/>
              <w:rPr>
                <w:rFonts w:cs="Arial"/>
                <w:b/>
                <w:bCs/>
                <w:sz w:val="20"/>
              </w:rPr>
            </w:pPr>
            <w:r w:rsidRPr="00070230">
              <w:rPr>
                <w:rFonts w:cs="Arial"/>
                <w:b/>
                <w:bCs/>
                <w:sz w:val="20"/>
              </w:rPr>
              <w:t>Schedule 1</w:t>
            </w:r>
          </w:p>
        </w:tc>
        <w:tc>
          <w:tcPr>
            <w:tcW w:w="1710" w:type="dxa"/>
            <w:shd w:val="clear" w:color="auto" w:fill="EEECE1" w:themeFill="background2"/>
          </w:tcPr>
          <w:p w14:paraId="63AC3217" w14:textId="77777777" w:rsidR="004436D3" w:rsidRPr="00070230" w:rsidRDefault="004436D3" w:rsidP="002D7075">
            <w:pPr>
              <w:spacing w:after="160"/>
              <w:jc w:val="both"/>
              <w:rPr>
                <w:rFonts w:cs="Arial"/>
                <w:b/>
                <w:bCs/>
                <w:sz w:val="20"/>
              </w:rPr>
            </w:pPr>
          </w:p>
        </w:tc>
        <w:tc>
          <w:tcPr>
            <w:tcW w:w="3420" w:type="dxa"/>
            <w:shd w:val="clear" w:color="auto" w:fill="EEECE1" w:themeFill="background2"/>
          </w:tcPr>
          <w:p w14:paraId="4CE21894" w14:textId="77777777" w:rsidR="004436D3" w:rsidRPr="00070230" w:rsidRDefault="004436D3" w:rsidP="002D7075">
            <w:pPr>
              <w:rPr>
                <w:rFonts w:cs="Arial"/>
                <w:b/>
                <w:bCs/>
                <w:sz w:val="20"/>
              </w:rPr>
            </w:pPr>
            <w:r w:rsidRPr="00070230">
              <w:rPr>
                <w:rFonts w:cs="Arial"/>
                <w:b/>
                <w:bCs/>
                <w:sz w:val="20"/>
              </w:rPr>
              <w:t xml:space="preserve">Our application support model is customized to the needs of each client.  In some cases, we take complete responsibility for the application (source code) maintenance. For some clients we share the responsibility and in others the client maintains the solution independently from us.  </w:t>
            </w:r>
          </w:p>
          <w:p w14:paraId="600A8AE0" w14:textId="18D5C288" w:rsidR="004436D3" w:rsidRPr="00070230" w:rsidRDefault="004436D3" w:rsidP="002D7075">
            <w:pPr>
              <w:rPr>
                <w:rFonts w:cs="Arial"/>
                <w:b/>
                <w:bCs/>
                <w:sz w:val="20"/>
              </w:rPr>
            </w:pPr>
            <w:r w:rsidRPr="00070230">
              <w:rPr>
                <w:rFonts w:cs="Arial"/>
                <w:b/>
                <w:bCs/>
                <w:sz w:val="20"/>
              </w:rPr>
              <w:t>What level of support does ETF require?</w:t>
            </w:r>
          </w:p>
        </w:tc>
        <w:tc>
          <w:tcPr>
            <w:tcW w:w="5490" w:type="dxa"/>
            <w:shd w:val="clear" w:color="auto" w:fill="EEECE1" w:themeFill="background2"/>
          </w:tcPr>
          <w:p w14:paraId="3435128B" w14:textId="56084040" w:rsidR="004436D3" w:rsidRPr="00070230" w:rsidRDefault="004436D3" w:rsidP="00070230">
            <w:pPr>
              <w:spacing w:after="160"/>
              <w:rPr>
                <w:rFonts w:eastAsia="Calibri" w:cs="Arial"/>
                <w:b/>
                <w:bCs/>
                <w:sz w:val="20"/>
              </w:rPr>
            </w:pPr>
            <w:r w:rsidRPr="00070230">
              <w:rPr>
                <w:rFonts w:eastAsia="Calibri" w:cs="Arial"/>
                <w:b/>
                <w:bCs/>
                <w:sz w:val="20"/>
              </w:rPr>
              <w:t xml:space="preserve">ETF is interested in learning about all available support options. Proposers are encouraged to provide details and associated costs for all current support offerings. </w:t>
            </w:r>
          </w:p>
        </w:tc>
      </w:tr>
    </w:tbl>
    <w:p w14:paraId="3ACF12BB" w14:textId="77777777" w:rsidR="00F61E1E" w:rsidRPr="00702347" w:rsidRDefault="00F61E1E" w:rsidP="00F61E1E">
      <w:pPr>
        <w:spacing w:after="160" w:line="259" w:lineRule="auto"/>
        <w:rPr>
          <w:rFonts w:eastAsia="Calibri" w:cs="Arial"/>
          <w:color w:val="DBE5F1" w:themeColor="accent1" w:themeTint="33"/>
          <w:sz w:val="20"/>
        </w:rPr>
      </w:pPr>
    </w:p>
    <w:sectPr w:rsidR="00F61E1E" w:rsidRPr="00702347" w:rsidSect="0047377F">
      <w:footerReference w:type="default" r:id="rId23"/>
      <w:pgSz w:w="15840" w:h="12240" w:orient="landscape"/>
      <w:pgMar w:top="1440" w:right="547"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5B4D" w14:textId="77777777" w:rsidR="009520F3" w:rsidRDefault="009520F3" w:rsidP="00E172D8">
      <w:r>
        <w:separator/>
      </w:r>
    </w:p>
  </w:endnote>
  <w:endnote w:type="continuationSeparator" w:id="0">
    <w:p w14:paraId="37F8D513" w14:textId="77777777" w:rsidR="009520F3" w:rsidRDefault="009520F3" w:rsidP="00E172D8">
      <w:r>
        <w:continuationSeparator/>
      </w:r>
    </w:p>
  </w:endnote>
  <w:endnote w:type="continuationNotice" w:id="1">
    <w:p w14:paraId="53EF73F7" w14:textId="77777777" w:rsidR="009520F3" w:rsidRDefault="0095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770597"/>
      <w:docPartObj>
        <w:docPartGallery w:val="Page Numbers (Bottom of Page)"/>
        <w:docPartUnique/>
      </w:docPartObj>
    </w:sdtPr>
    <w:sdtContent>
      <w:sdt>
        <w:sdtPr>
          <w:id w:val="-1769616900"/>
          <w:docPartObj>
            <w:docPartGallery w:val="Page Numbers (Top of Page)"/>
            <w:docPartUnique/>
          </w:docPartObj>
        </w:sdtPr>
        <w:sdtContent>
          <w:p w14:paraId="7EA4A719" w14:textId="03AC092F" w:rsidR="00C75B8B" w:rsidRDefault="00C75B8B">
            <w:pPr>
              <w:pStyle w:val="Footer"/>
              <w:jc w:val="right"/>
            </w:pPr>
            <w:r w:rsidRPr="00C75B8B">
              <w:rPr>
                <w:sz w:val="18"/>
                <w:szCs w:val="18"/>
              </w:rPr>
              <w:t xml:space="preserve">Page </w:t>
            </w:r>
            <w:r w:rsidRPr="00C75B8B">
              <w:rPr>
                <w:b/>
                <w:bCs/>
                <w:sz w:val="18"/>
                <w:szCs w:val="18"/>
              </w:rPr>
              <w:fldChar w:fldCharType="begin"/>
            </w:r>
            <w:r w:rsidRPr="00C75B8B">
              <w:rPr>
                <w:b/>
                <w:bCs/>
                <w:sz w:val="18"/>
                <w:szCs w:val="18"/>
              </w:rPr>
              <w:instrText xml:space="preserve"> PAGE </w:instrText>
            </w:r>
            <w:r w:rsidRPr="00C75B8B">
              <w:rPr>
                <w:b/>
                <w:bCs/>
                <w:sz w:val="18"/>
                <w:szCs w:val="18"/>
              </w:rPr>
              <w:fldChar w:fldCharType="separate"/>
            </w:r>
            <w:r w:rsidRPr="00C75B8B">
              <w:rPr>
                <w:b/>
                <w:bCs/>
                <w:noProof/>
                <w:sz w:val="18"/>
                <w:szCs w:val="18"/>
              </w:rPr>
              <w:t>2</w:t>
            </w:r>
            <w:r w:rsidRPr="00C75B8B">
              <w:rPr>
                <w:b/>
                <w:bCs/>
                <w:sz w:val="18"/>
                <w:szCs w:val="18"/>
              </w:rPr>
              <w:fldChar w:fldCharType="end"/>
            </w:r>
            <w:r w:rsidRPr="00C75B8B">
              <w:rPr>
                <w:sz w:val="18"/>
                <w:szCs w:val="18"/>
              </w:rPr>
              <w:t xml:space="preserve"> of </w:t>
            </w:r>
            <w:r w:rsidRPr="00C75B8B">
              <w:rPr>
                <w:b/>
                <w:bCs/>
                <w:sz w:val="18"/>
                <w:szCs w:val="18"/>
              </w:rPr>
              <w:fldChar w:fldCharType="begin"/>
            </w:r>
            <w:r w:rsidRPr="00C75B8B">
              <w:rPr>
                <w:b/>
                <w:bCs/>
                <w:sz w:val="18"/>
                <w:szCs w:val="18"/>
              </w:rPr>
              <w:instrText xml:space="preserve"> NUMPAGES  </w:instrText>
            </w:r>
            <w:r w:rsidRPr="00C75B8B">
              <w:rPr>
                <w:b/>
                <w:bCs/>
                <w:sz w:val="18"/>
                <w:szCs w:val="18"/>
              </w:rPr>
              <w:fldChar w:fldCharType="separate"/>
            </w:r>
            <w:r w:rsidRPr="00C75B8B">
              <w:rPr>
                <w:b/>
                <w:bCs/>
                <w:noProof/>
                <w:sz w:val="18"/>
                <w:szCs w:val="18"/>
              </w:rPr>
              <w:t>2</w:t>
            </w:r>
            <w:r w:rsidRPr="00C75B8B">
              <w:rPr>
                <w:b/>
                <w:bCs/>
                <w:sz w:val="18"/>
                <w:szCs w:val="18"/>
              </w:rPr>
              <w:fldChar w:fldCharType="end"/>
            </w:r>
          </w:p>
        </w:sdtContent>
      </w:sdt>
    </w:sdtContent>
  </w:sdt>
  <w:p w14:paraId="5BB984D7" w14:textId="62066AAE" w:rsidR="009520F3" w:rsidRPr="00C75B8B" w:rsidRDefault="00A33E4B">
    <w:pPr>
      <w:pStyle w:val="Footer"/>
      <w:rPr>
        <w:sz w:val="18"/>
        <w:szCs w:val="18"/>
      </w:rPr>
    </w:pPr>
    <w:r>
      <w:rPr>
        <w:sz w:val="18"/>
        <w:szCs w:val="18"/>
      </w:rPr>
      <w:t>RFP ETI0050 Addendum No. 3 – 04-06-2020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2B8E3" w14:textId="77777777" w:rsidR="009520F3" w:rsidRDefault="009520F3" w:rsidP="00E172D8">
      <w:r>
        <w:separator/>
      </w:r>
    </w:p>
  </w:footnote>
  <w:footnote w:type="continuationSeparator" w:id="0">
    <w:p w14:paraId="374E83F6" w14:textId="77777777" w:rsidR="009520F3" w:rsidRDefault="009520F3" w:rsidP="00E172D8">
      <w:r>
        <w:continuationSeparator/>
      </w:r>
    </w:p>
  </w:footnote>
  <w:footnote w:type="continuationNotice" w:id="1">
    <w:p w14:paraId="7CCFA2C0" w14:textId="77777777" w:rsidR="009520F3" w:rsidRDefault="009520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C62"/>
    <w:multiLevelType w:val="hybridMultilevel"/>
    <w:tmpl w:val="58AC1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667F"/>
    <w:multiLevelType w:val="hybridMultilevel"/>
    <w:tmpl w:val="D3026956"/>
    <w:lvl w:ilvl="0" w:tplc="BB3A2856">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59E2FB9"/>
    <w:multiLevelType w:val="hybridMultilevel"/>
    <w:tmpl w:val="30E8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085C"/>
    <w:multiLevelType w:val="hybridMultilevel"/>
    <w:tmpl w:val="DB6EB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C2708"/>
    <w:multiLevelType w:val="hybridMultilevel"/>
    <w:tmpl w:val="DCEE2058"/>
    <w:lvl w:ilvl="0" w:tplc="4464474C">
      <w:start w:val="1"/>
      <w:numFmt w:val="lowerLetter"/>
      <w:lvlText w:val="%1."/>
      <w:lvlJc w:val="left"/>
      <w:pPr>
        <w:ind w:left="360" w:hanging="360"/>
      </w:pPr>
      <w:rPr>
        <w:rFonts w:cs="Times New Roman"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26E09"/>
    <w:multiLevelType w:val="hybridMultilevel"/>
    <w:tmpl w:val="9F4CA4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F1CFD"/>
    <w:multiLevelType w:val="hybridMultilevel"/>
    <w:tmpl w:val="7598DF48"/>
    <w:lvl w:ilvl="0" w:tplc="006ECD7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D963E78"/>
    <w:multiLevelType w:val="hybridMultilevel"/>
    <w:tmpl w:val="813C73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DE024A"/>
    <w:multiLevelType w:val="hybridMultilevel"/>
    <w:tmpl w:val="F5DEE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7348A"/>
    <w:multiLevelType w:val="hybridMultilevel"/>
    <w:tmpl w:val="83B2D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77F91"/>
    <w:multiLevelType w:val="hybridMultilevel"/>
    <w:tmpl w:val="101C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8109E"/>
    <w:multiLevelType w:val="hybridMultilevel"/>
    <w:tmpl w:val="371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94EF9"/>
    <w:multiLevelType w:val="hybridMultilevel"/>
    <w:tmpl w:val="201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B3CC7"/>
    <w:multiLevelType w:val="hybridMultilevel"/>
    <w:tmpl w:val="972C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4081E"/>
    <w:multiLevelType w:val="hybridMultilevel"/>
    <w:tmpl w:val="01C06B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22B0F"/>
    <w:multiLevelType w:val="hybridMultilevel"/>
    <w:tmpl w:val="FC60B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56905"/>
    <w:multiLevelType w:val="hybridMultilevel"/>
    <w:tmpl w:val="4B069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B7AF8"/>
    <w:multiLevelType w:val="hybridMultilevel"/>
    <w:tmpl w:val="7FAEA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B1720"/>
    <w:multiLevelType w:val="hybridMultilevel"/>
    <w:tmpl w:val="9740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7DE5B69"/>
    <w:multiLevelType w:val="hybridMultilevel"/>
    <w:tmpl w:val="C792C73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038B3"/>
    <w:multiLevelType w:val="hybridMultilevel"/>
    <w:tmpl w:val="D3C6EC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360FC4"/>
    <w:multiLevelType w:val="hybridMultilevel"/>
    <w:tmpl w:val="63AE6B9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C5FB7"/>
    <w:multiLevelType w:val="hybridMultilevel"/>
    <w:tmpl w:val="074EBF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D83B97"/>
    <w:multiLevelType w:val="hybridMultilevel"/>
    <w:tmpl w:val="95185F2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72566B"/>
    <w:multiLevelType w:val="hybridMultilevel"/>
    <w:tmpl w:val="367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42BBD"/>
    <w:multiLevelType w:val="hybridMultilevel"/>
    <w:tmpl w:val="033439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B4625"/>
    <w:multiLevelType w:val="hybridMultilevel"/>
    <w:tmpl w:val="82C682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620097"/>
    <w:multiLevelType w:val="hybridMultilevel"/>
    <w:tmpl w:val="BE044D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F7360A"/>
    <w:multiLevelType w:val="hybridMultilevel"/>
    <w:tmpl w:val="338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52F69"/>
    <w:multiLevelType w:val="hybridMultilevel"/>
    <w:tmpl w:val="FF867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86CA4"/>
    <w:multiLevelType w:val="hybridMultilevel"/>
    <w:tmpl w:val="60366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E0B82"/>
    <w:multiLevelType w:val="hybridMultilevel"/>
    <w:tmpl w:val="38D00A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23531"/>
    <w:multiLevelType w:val="hybridMultilevel"/>
    <w:tmpl w:val="D11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B69F8"/>
    <w:multiLevelType w:val="hybridMultilevel"/>
    <w:tmpl w:val="E49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A3C69"/>
    <w:multiLevelType w:val="hybridMultilevel"/>
    <w:tmpl w:val="744A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57F98"/>
    <w:multiLevelType w:val="hybridMultilevel"/>
    <w:tmpl w:val="25F0C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300CA1"/>
    <w:multiLevelType w:val="hybridMultilevel"/>
    <w:tmpl w:val="657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960F4"/>
    <w:multiLevelType w:val="hybridMultilevel"/>
    <w:tmpl w:val="7DB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64C6E"/>
    <w:multiLevelType w:val="hybridMultilevel"/>
    <w:tmpl w:val="CB7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D7BDD"/>
    <w:multiLevelType w:val="hybridMultilevel"/>
    <w:tmpl w:val="B2C6F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D7306"/>
    <w:multiLevelType w:val="hybridMultilevel"/>
    <w:tmpl w:val="1696D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52C27"/>
    <w:multiLevelType w:val="hybridMultilevel"/>
    <w:tmpl w:val="22324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1"/>
  </w:num>
  <w:num w:numId="4">
    <w:abstractNumId w:val="27"/>
  </w:num>
  <w:num w:numId="5">
    <w:abstractNumId w:val="32"/>
  </w:num>
  <w:num w:numId="6">
    <w:abstractNumId w:val="1"/>
  </w:num>
  <w:num w:numId="7">
    <w:abstractNumId w:val="23"/>
  </w:num>
  <w:num w:numId="8">
    <w:abstractNumId w:val="42"/>
  </w:num>
  <w:num w:numId="9">
    <w:abstractNumId w:val="17"/>
  </w:num>
  <w:num w:numId="10">
    <w:abstractNumId w:val="43"/>
  </w:num>
  <w:num w:numId="11">
    <w:abstractNumId w:val="9"/>
  </w:num>
  <w:num w:numId="12">
    <w:abstractNumId w:val="18"/>
  </w:num>
  <w:num w:numId="13">
    <w:abstractNumId w:val="31"/>
  </w:num>
  <w:num w:numId="14">
    <w:abstractNumId w:val="3"/>
  </w:num>
  <w:num w:numId="15">
    <w:abstractNumId w:val="0"/>
  </w:num>
  <w:num w:numId="16">
    <w:abstractNumId w:val="10"/>
  </w:num>
  <w:num w:numId="17">
    <w:abstractNumId w:val="29"/>
  </w:num>
  <w:num w:numId="18">
    <w:abstractNumId w:val="2"/>
  </w:num>
  <w:num w:numId="19">
    <w:abstractNumId w:val="21"/>
  </w:num>
  <w:num w:numId="20">
    <w:abstractNumId w:val="39"/>
  </w:num>
  <w:num w:numId="21">
    <w:abstractNumId w:val="3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3"/>
  </w:num>
  <w:num w:numId="25">
    <w:abstractNumId w:val="4"/>
  </w:num>
  <w:num w:numId="26">
    <w:abstractNumId w:val="12"/>
  </w:num>
  <w:num w:numId="27">
    <w:abstractNumId w:val="28"/>
  </w:num>
  <w:num w:numId="28">
    <w:abstractNumId w:val="38"/>
  </w:num>
  <w:num w:numId="29">
    <w:abstractNumId w:val="8"/>
  </w:num>
  <w:num w:numId="30">
    <w:abstractNumId w:val="37"/>
  </w:num>
  <w:num w:numId="31">
    <w:abstractNumId w:val="5"/>
  </w:num>
  <w:num w:numId="32">
    <w:abstractNumId w:val="15"/>
  </w:num>
  <w:num w:numId="33">
    <w:abstractNumId w:val="25"/>
  </w:num>
  <w:num w:numId="34">
    <w:abstractNumId w:val="2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 w:numId="43">
    <w:abstractNumId w:val="41"/>
  </w:num>
  <w:num w:numId="44">
    <w:abstractNumId w:val="16"/>
  </w:num>
  <w:num w:numId="45">
    <w:abstractNumId w:val="13"/>
  </w:num>
  <w:num w:numId="46">
    <w:abstractNumId w:val="36"/>
  </w:num>
  <w:num w:numId="47">
    <w:abstractNumId w:val="14"/>
  </w:num>
  <w:num w:numId="48">
    <w:abstractNumId w:val="26"/>
  </w:num>
  <w:num w:numId="4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23"/>
    <w:rsid w:val="000065E5"/>
    <w:rsid w:val="000066DA"/>
    <w:rsid w:val="000070D0"/>
    <w:rsid w:val="00007919"/>
    <w:rsid w:val="00010B2B"/>
    <w:rsid w:val="00011498"/>
    <w:rsid w:val="00012E10"/>
    <w:rsid w:val="00013881"/>
    <w:rsid w:val="00014347"/>
    <w:rsid w:val="00015A26"/>
    <w:rsid w:val="00015BAE"/>
    <w:rsid w:val="00015E7C"/>
    <w:rsid w:val="00017437"/>
    <w:rsid w:val="000246A6"/>
    <w:rsid w:val="0002490D"/>
    <w:rsid w:val="00026172"/>
    <w:rsid w:val="0002667E"/>
    <w:rsid w:val="00026AC7"/>
    <w:rsid w:val="00026E7E"/>
    <w:rsid w:val="00027AD8"/>
    <w:rsid w:val="00027CD6"/>
    <w:rsid w:val="000314B3"/>
    <w:rsid w:val="0003556C"/>
    <w:rsid w:val="000361FD"/>
    <w:rsid w:val="000362C7"/>
    <w:rsid w:val="00041587"/>
    <w:rsid w:val="000438C2"/>
    <w:rsid w:val="000468EF"/>
    <w:rsid w:val="000512CE"/>
    <w:rsid w:val="00061F64"/>
    <w:rsid w:val="00063D50"/>
    <w:rsid w:val="00065460"/>
    <w:rsid w:val="00066FF6"/>
    <w:rsid w:val="00067585"/>
    <w:rsid w:val="00067E95"/>
    <w:rsid w:val="00070230"/>
    <w:rsid w:val="00072FFE"/>
    <w:rsid w:val="00073135"/>
    <w:rsid w:val="0007538D"/>
    <w:rsid w:val="000754AC"/>
    <w:rsid w:val="0007696F"/>
    <w:rsid w:val="00077C84"/>
    <w:rsid w:val="00090E05"/>
    <w:rsid w:val="00092021"/>
    <w:rsid w:val="000932D3"/>
    <w:rsid w:val="0009399D"/>
    <w:rsid w:val="00095924"/>
    <w:rsid w:val="000A1FBD"/>
    <w:rsid w:val="000B71C1"/>
    <w:rsid w:val="000C38B3"/>
    <w:rsid w:val="000C3C22"/>
    <w:rsid w:val="000C3CAF"/>
    <w:rsid w:val="000C3ED8"/>
    <w:rsid w:val="000C6AC7"/>
    <w:rsid w:val="000D0202"/>
    <w:rsid w:val="000D3C65"/>
    <w:rsid w:val="000D4BE5"/>
    <w:rsid w:val="000E00FF"/>
    <w:rsid w:val="000E0221"/>
    <w:rsid w:val="000E139F"/>
    <w:rsid w:val="000E1569"/>
    <w:rsid w:val="000E233C"/>
    <w:rsid w:val="000E4990"/>
    <w:rsid w:val="000E6B0C"/>
    <w:rsid w:val="000E6EAB"/>
    <w:rsid w:val="000E7178"/>
    <w:rsid w:val="000F2AAC"/>
    <w:rsid w:val="00106540"/>
    <w:rsid w:val="001076EE"/>
    <w:rsid w:val="00110C7A"/>
    <w:rsid w:val="0011104D"/>
    <w:rsid w:val="001140C4"/>
    <w:rsid w:val="001147BB"/>
    <w:rsid w:val="00115870"/>
    <w:rsid w:val="001159CF"/>
    <w:rsid w:val="0011763B"/>
    <w:rsid w:val="001177D3"/>
    <w:rsid w:val="00117AAA"/>
    <w:rsid w:val="001204BC"/>
    <w:rsid w:val="00122A26"/>
    <w:rsid w:val="00124FA4"/>
    <w:rsid w:val="001251F5"/>
    <w:rsid w:val="00140D7D"/>
    <w:rsid w:val="00142454"/>
    <w:rsid w:val="00143C3C"/>
    <w:rsid w:val="00147CEB"/>
    <w:rsid w:val="00150AEF"/>
    <w:rsid w:val="00150C06"/>
    <w:rsid w:val="00151592"/>
    <w:rsid w:val="0015587D"/>
    <w:rsid w:val="00157A08"/>
    <w:rsid w:val="00161363"/>
    <w:rsid w:val="001653CA"/>
    <w:rsid w:val="0016788F"/>
    <w:rsid w:val="0017148A"/>
    <w:rsid w:val="00174B16"/>
    <w:rsid w:val="0018231A"/>
    <w:rsid w:val="001827F3"/>
    <w:rsid w:val="0018748A"/>
    <w:rsid w:val="001912F8"/>
    <w:rsid w:val="001918ED"/>
    <w:rsid w:val="00192962"/>
    <w:rsid w:val="00193911"/>
    <w:rsid w:val="0019581B"/>
    <w:rsid w:val="00196F2B"/>
    <w:rsid w:val="001A0EAF"/>
    <w:rsid w:val="001A1272"/>
    <w:rsid w:val="001A28E3"/>
    <w:rsid w:val="001B1227"/>
    <w:rsid w:val="001B27EC"/>
    <w:rsid w:val="001B4C1D"/>
    <w:rsid w:val="001B57B4"/>
    <w:rsid w:val="001B736E"/>
    <w:rsid w:val="001B7F9F"/>
    <w:rsid w:val="001C0075"/>
    <w:rsid w:val="001C029A"/>
    <w:rsid w:val="001C15A5"/>
    <w:rsid w:val="001C19CD"/>
    <w:rsid w:val="001C1C9E"/>
    <w:rsid w:val="001C1D15"/>
    <w:rsid w:val="001C6D72"/>
    <w:rsid w:val="001D0EB1"/>
    <w:rsid w:val="001D33D8"/>
    <w:rsid w:val="001D5DCD"/>
    <w:rsid w:val="001D6DBD"/>
    <w:rsid w:val="001D724C"/>
    <w:rsid w:val="001E4B35"/>
    <w:rsid w:val="001E5280"/>
    <w:rsid w:val="001F2A0B"/>
    <w:rsid w:val="001F79C7"/>
    <w:rsid w:val="0020111E"/>
    <w:rsid w:val="00201430"/>
    <w:rsid w:val="002035DB"/>
    <w:rsid w:val="00203F31"/>
    <w:rsid w:val="00203FBC"/>
    <w:rsid w:val="0020636C"/>
    <w:rsid w:val="002114EA"/>
    <w:rsid w:val="00213143"/>
    <w:rsid w:val="0021346C"/>
    <w:rsid w:val="002134A7"/>
    <w:rsid w:val="0021573C"/>
    <w:rsid w:val="00216574"/>
    <w:rsid w:val="002172F4"/>
    <w:rsid w:val="00217491"/>
    <w:rsid w:val="00220215"/>
    <w:rsid w:val="00221E7F"/>
    <w:rsid w:val="0022621F"/>
    <w:rsid w:val="00231BD2"/>
    <w:rsid w:val="0024037B"/>
    <w:rsid w:val="0024351B"/>
    <w:rsid w:val="002464E4"/>
    <w:rsid w:val="00246B89"/>
    <w:rsid w:val="002507C8"/>
    <w:rsid w:val="00252F00"/>
    <w:rsid w:val="00253063"/>
    <w:rsid w:val="00255BA3"/>
    <w:rsid w:val="00261A7C"/>
    <w:rsid w:val="002623E0"/>
    <w:rsid w:val="0026359E"/>
    <w:rsid w:val="00264E14"/>
    <w:rsid w:val="00265081"/>
    <w:rsid w:val="00265444"/>
    <w:rsid w:val="00270665"/>
    <w:rsid w:val="00270B4E"/>
    <w:rsid w:val="002806B6"/>
    <w:rsid w:val="00285F45"/>
    <w:rsid w:val="0029017F"/>
    <w:rsid w:val="00293BD5"/>
    <w:rsid w:val="002953A7"/>
    <w:rsid w:val="002966BE"/>
    <w:rsid w:val="002978C6"/>
    <w:rsid w:val="00297FFC"/>
    <w:rsid w:val="002A2117"/>
    <w:rsid w:val="002A2D44"/>
    <w:rsid w:val="002A3A85"/>
    <w:rsid w:val="002B08A9"/>
    <w:rsid w:val="002B1587"/>
    <w:rsid w:val="002B2843"/>
    <w:rsid w:val="002B44EB"/>
    <w:rsid w:val="002C07ED"/>
    <w:rsid w:val="002C0C72"/>
    <w:rsid w:val="002C362D"/>
    <w:rsid w:val="002C54A7"/>
    <w:rsid w:val="002C7ACB"/>
    <w:rsid w:val="002D1578"/>
    <w:rsid w:val="002D194D"/>
    <w:rsid w:val="002D354A"/>
    <w:rsid w:val="002D4E52"/>
    <w:rsid w:val="002D67B5"/>
    <w:rsid w:val="002D7075"/>
    <w:rsid w:val="002D7950"/>
    <w:rsid w:val="002E1BCF"/>
    <w:rsid w:val="002E66BB"/>
    <w:rsid w:val="002F00C1"/>
    <w:rsid w:val="002F0DCE"/>
    <w:rsid w:val="002F69C9"/>
    <w:rsid w:val="003032C5"/>
    <w:rsid w:val="00304356"/>
    <w:rsid w:val="003073AD"/>
    <w:rsid w:val="00310E33"/>
    <w:rsid w:val="0031161D"/>
    <w:rsid w:val="00313436"/>
    <w:rsid w:val="003158F2"/>
    <w:rsid w:val="00316D06"/>
    <w:rsid w:val="003238D4"/>
    <w:rsid w:val="0032470B"/>
    <w:rsid w:val="0032579B"/>
    <w:rsid w:val="00326C88"/>
    <w:rsid w:val="003272DE"/>
    <w:rsid w:val="003276D2"/>
    <w:rsid w:val="00330173"/>
    <w:rsid w:val="00330635"/>
    <w:rsid w:val="0033228E"/>
    <w:rsid w:val="00333471"/>
    <w:rsid w:val="0033729A"/>
    <w:rsid w:val="00342CF2"/>
    <w:rsid w:val="00343526"/>
    <w:rsid w:val="003457D6"/>
    <w:rsid w:val="00351A7F"/>
    <w:rsid w:val="0035224A"/>
    <w:rsid w:val="003532FD"/>
    <w:rsid w:val="00361EF6"/>
    <w:rsid w:val="00362D0C"/>
    <w:rsid w:val="00367885"/>
    <w:rsid w:val="003712C3"/>
    <w:rsid w:val="003715F0"/>
    <w:rsid w:val="00373726"/>
    <w:rsid w:val="00374051"/>
    <w:rsid w:val="00377CAF"/>
    <w:rsid w:val="003811C8"/>
    <w:rsid w:val="003815A3"/>
    <w:rsid w:val="003818A0"/>
    <w:rsid w:val="00382A25"/>
    <w:rsid w:val="0038335E"/>
    <w:rsid w:val="0038398C"/>
    <w:rsid w:val="00383E16"/>
    <w:rsid w:val="00390F59"/>
    <w:rsid w:val="003971F2"/>
    <w:rsid w:val="003979ED"/>
    <w:rsid w:val="00397CF9"/>
    <w:rsid w:val="003A1B53"/>
    <w:rsid w:val="003A2367"/>
    <w:rsid w:val="003A6676"/>
    <w:rsid w:val="003A6AD0"/>
    <w:rsid w:val="003C010B"/>
    <w:rsid w:val="003C09CA"/>
    <w:rsid w:val="003C2F17"/>
    <w:rsid w:val="003C3819"/>
    <w:rsid w:val="003C556D"/>
    <w:rsid w:val="003D08BE"/>
    <w:rsid w:val="003D32E8"/>
    <w:rsid w:val="003D3ED8"/>
    <w:rsid w:val="003D7AE4"/>
    <w:rsid w:val="003E3CB6"/>
    <w:rsid w:val="003E3E2E"/>
    <w:rsid w:val="003E4A97"/>
    <w:rsid w:val="003E612A"/>
    <w:rsid w:val="003E72E5"/>
    <w:rsid w:val="003F0CC4"/>
    <w:rsid w:val="003F1B28"/>
    <w:rsid w:val="00401AE7"/>
    <w:rsid w:val="00401C3A"/>
    <w:rsid w:val="00406193"/>
    <w:rsid w:val="00411B6B"/>
    <w:rsid w:val="00413158"/>
    <w:rsid w:val="004150B3"/>
    <w:rsid w:val="00421006"/>
    <w:rsid w:val="004216C6"/>
    <w:rsid w:val="00422FBF"/>
    <w:rsid w:val="004231BE"/>
    <w:rsid w:val="0042379F"/>
    <w:rsid w:val="00423FE4"/>
    <w:rsid w:val="0042623F"/>
    <w:rsid w:val="00426803"/>
    <w:rsid w:val="004309E1"/>
    <w:rsid w:val="00430C40"/>
    <w:rsid w:val="0043514E"/>
    <w:rsid w:val="004368ED"/>
    <w:rsid w:val="0043709D"/>
    <w:rsid w:val="004376AC"/>
    <w:rsid w:val="004436D3"/>
    <w:rsid w:val="00444137"/>
    <w:rsid w:val="00444D0E"/>
    <w:rsid w:val="00452F03"/>
    <w:rsid w:val="0045672D"/>
    <w:rsid w:val="00457300"/>
    <w:rsid w:val="004607E5"/>
    <w:rsid w:val="00465ADD"/>
    <w:rsid w:val="00472898"/>
    <w:rsid w:val="00472919"/>
    <w:rsid w:val="0047377F"/>
    <w:rsid w:val="00473D30"/>
    <w:rsid w:val="00475BB7"/>
    <w:rsid w:val="00475F9B"/>
    <w:rsid w:val="004822B5"/>
    <w:rsid w:val="00487031"/>
    <w:rsid w:val="0049067D"/>
    <w:rsid w:val="00491F8D"/>
    <w:rsid w:val="00492096"/>
    <w:rsid w:val="004926A5"/>
    <w:rsid w:val="00492B67"/>
    <w:rsid w:val="00493441"/>
    <w:rsid w:val="00493444"/>
    <w:rsid w:val="00494109"/>
    <w:rsid w:val="00494D9D"/>
    <w:rsid w:val="004969F0"/>
    <w:rsid w:val="004A056E"/>
    <w:rsid w:val="004A16A5"/>
    <w:rsid w:val="004A608F"/>
    <w:rsid w:val="004A6526"/>
    <w:rsid w:val="004A7A4A"/>
    <w:rsid w:val="004B5559"/>
    <w:rsid w:val="004B608B"/>
    <w:rsid w:val="004C664D"/>
    <w:rsid w:val="004D1B59"/>
    <w:rsid w:val="004D2CFC"/>
    <w:rsid w:val="004D46AA"/>
    <w:rsid w:val="004D50F8"/>
    <w:rsid w:val="004E1C20"/>
    <w:rsid w:val="004E5623"/>
    <w:rsid w:val="004E6111"/>
    <w:rsid w:val="004E6F39"/>
    <w:rsid w:val="004E767E"/>
    <w:rsid w:val="004F0F10"/>
    <w:rsid w:val="004F4271"/>
    <w:rsid w:val="004F5E6F"/>
    <w:rsid w:val="004F75A9"/>
    <w:rsid w:val="005012E4"/>
    <w:rsid w:val="0050183F"/>
    <w:rsid w:val="005023A8"/>
    <w:rsid w:val="00505780"/>
    <w:rsid w:val="00507141"/>
    <w:rsid w:val="00507BDA"/>
    <w:rsid w:val="005102CF"/>
    <w:rsid w:val="00512F51"/>
    <w:rsid w:val="005130AD"/>
    <w:rsid w:val="00513106"/>
    <w:rsid w:val="00515A67"/>
    <w:rsid w:val="005233D8"/>
    <w:rsid w:val="005236F6"/>
    <w:rsid w:val="005237A0"/>
    <w:rsid w:val="00523F62"/>
    <w:rsid w:val="00530D6D"/>
    <w:rsid w:val="005345B6"/>
    <w:rsid w:val="005357A6"/>
    <w:rsid w:val="005362FF"/>
    <w:rsid w:val="005370FC"/>
    <w:rsid w:val="00540621"/>
    <w:rsid w:val="0054693E"/>
    <w:rsid w:val="00551C68"/>
    <w:rsid w:val="00551D9A"/>
    <w:rsid w:val="0055333E"/>
    <w:rsid w:val="00555248"/>
    <w:rsid w:val="0055690F"/>
    <w:rsid w:val="005577B3"/>
    <w:rsid w:val="00557E98"/>
    <w:rsid w:val="00557ECE"/>
    <w:rsid w:val="00564BE8"/>
    <w:rsid w:val="005653FB"/>
    <w:rsid w:val="00570320"/>
    <w:rsid w:val="005729E3"/>
    <w:rsid w:val="00574241"/>
    <w:rsid w:val="005746C5"/>
    <w:rsid w:val="0057487C"/>
    <w:rsid w:val="00576065"/>
    <w:rsid w:val="00576AB7"/>
    <w:rsid w:val="00583649"/>
    <w:rsid w:val="005853F8"/>
    <w:rsid w:val="00585677"/>
    <w:rsid w:val="005866F2"/>
    <w:rsid w:val="0059370A"/>
    <w:rsid w:val="005952F5"/>
    <w:rsid w:val="00596C80"/>
    <w:rsid w:val="005A7FCB"/>
    <w:rsid w:val="005B2493"/>
    <w:rsid w:val="005B35A8"/>
    <w:rsid w:val="005B6FF8"/>
    <w:rsid w:val="005C3E9E"/>
    <w:rsid w:val="005D1F4D"/>
    <w:rsid w:val="005D4AF4"/>
    <w:rsid w:val="005D5B34"/>
    <w:rsid w:val="005D6CE6"/>
    <w:rsid w:val="005E013B"/>
    <w:rsid w:val="005E272D"/>
    <w:rsid w:val="005E4423"/>
    <w:rsid w:val="005E69F0"/>
    <w:rsid w:val="005E7478"/>
    <w:rsid w:val="005E7844"/>
    <w:rsid w:val="005E7EB8"/>
    <w:rsid w:val="005F2F6B"/>
    <w:rsid w:val="005F3049"/>
    <w:rsid w:val="005F4658"/>
    <w:rsid w:val="005F6C2F"/>
    <w:rsid w:val="005F7A77"/>
    <w:rsid w:val="00600222"/>
    <w:rsid w:val="00602CA3"/>
    <w:rsid w:val="00613253"/>
    <w:rsid w:val="00625684"/>
    <w:rsid w:val="00627B87"/>
    <w:rsid w:val="00630232"/>
    <w:rsid w:val="006320C4"/>
    <w:rsid w:val="0063482F"/>
    <w:rsid w:val="00634F26"/>
    <w:rsid w:val="00636024"/>
    <w:rsid w:val="006370F7"/>
    <w:rsid w:val="00637C76"/>
    <w:rsid w:val="00637F39"/>
    <w:rsid w:val="006411D8"/>
    <w:rsid w:val="00642800"/>
    <w:rsid w:val="00642F15"/>
    <w:rsid w:val="006435CC"/>
    <w:rsid w:val="0064419F"/>
    <w:rsid w:val="00644286"/>
    <w:rsid w:val="00644C37"/>
    <w:rsid w:val="0065049D"/>
    <w:rsid w:val="006513F1"/>
    <w:rsid w:val="006545D9"/>
    <w:rsid w:val="006546EF"/>
    <w:rsid w:val="006550BF"/>
    <w:rsid w:val="00655B11"/>
    <w:rsid w:val="006576A3"/>
    <w:rsid w:val="006630BC"/>
    <w:rsid w:val="00664341"/>
    <w:rsid w:val="00664B45"/>
    <w:rsid w:val="00664BDE"/>
    <w:rsid w:val="006653C5"/>
    <w:rsid w:val="00665DE6"/>
    <w:rsid w:val="006705FA"/>
    <w:rsid w:val="006715D9"/>
    <w:rsid w:val="0067664C"/>
    <w:rsid w:val="006839DE"/>
    <w:rsid w:val="00685702"/>
    <w:rsid w:val="00691464"/>
    <w:rsid w:val="00691CAD"/>
    <w:rsid w:val="00691E69"/>
    <w:rsid w:val="006A4054"/>
    <w:rsid w:val="006A5AD0"/>
    <w:rsid w:val="006B179A"/>
    <w:rsid w:val="006C253F"/>
    <w:rsid w:val="006C4CEF"/>
    <w:rsid w:val="006C6F12"/>
    <w:rsid w:val="006D077C"/>
    <w:rsid w:val="006D09FE"/>
    <w:rsid w:val="006D159B"/>
    <w:rsid w:val="006D2131"/>
    <w:rsid w:val="006D4B8C"/>
    <w:rsid w:val="006D7AA3"/>
    <w:rsid w:val="006E0184"/>
    <w:rsid w:val="006E0865"/>
    <w:rsid w:val="006E0FF5"/>
    <w:rsid w:val="007016C4"/>
    <w:rsid w:val="007019CA"/>
    <w:rsid w:val="00702347"/>
    <w:rsid w:val="007026A6"/>
    <w:rsid w:val="007033A0"/>
    <w:rsid w:val="00705EE2"/>
    <w:rsid w:val="00706198"/>
    <w:rsid w:val="007103BD"/>
    <w:rsid w:val="00713898"/>
    <w:rsid w:val="00730696"/>
    <w:rsid w:val="0073193A"/>
    <w:rsid w:val="007319CC"/>
    <w:rsid w:val="007340EC"/>
    <w:rsid w:val="00734F94"/>
    <w:rsid w:val="007400BE"/>
    <w:rsid w:val="007403C6"/>
    <w:rsid w:val="0074143D"/>
    <w:rsid w:val="00741EE5"/>
    <w:rsid w:val="00745139"/>
    <w:rsid w:val="0074521C"/>
    <w:rsid w:val="0075156E"/>
    <w:rsid w:val="00755418"/>
    <w:rsid w:val="00755D1B"/>
    <w:rsid w:val="0075618A"/>
    <w:rsid w:val="00763140"/>
    <w:rsid w:val="007634DD"/>
    <w:rsid w:val="00764203"/>
    <w:rsid w:val="007663AB"/>
    <w:rsid w:val="00766FD9"/>
    <w:rsid w:val="0077031D"/>
    <w:rsid w:val="00772CB4"/>
    <w:rsid w:val="007759EB"/>
    <w:rsid w:val="00780BDF"/>
    <w:rsid w:val="00786161"/>
    <w:rsid w:val="007863A7"/>
    <w:rsid w:val="007917DE"/>
    <w:rsid w:val="0079243F"/>
    <w:rsid w:val="007929E9"/>
    <w:rsid w:val="007936E7"/>
    <w:rsid w:val="00796764"/>
    <w:rsid w:val="00797B23"/>
    <w:rsid w:val="007A5908"/>
    <w:rsid w:val="007A7A31"/>
    <w:rsid w:val="007A7F10"/>
    <w:rsid w:val="007B173F"/>
    <w:rsid w:val="007B1A00"/>
    <w:rsid w:val="007B2EF0"/>
    <w:rsid w:val="007B4BBF"/>
    <w:rsid w:val="007B6C07"/>
    <w:rsid w:val="007C3AC8"/>
    <w:rsid w:val="007C4AB5"/>
    <w:rsid w:val="007D05EB"/>
    <w:rsid w:val="007D25CA"/>
    <w:rsid w:val="007D2BB7"/>
    <w:rsid w:val="007D2D2A"/>
    <w:rsid w:val="007D439B"/>
    <w:rsid w:val="007D46F9"/>
    <w:rsid w:val="007D4853"/>
    <w:rsid w:val="007D5565"/>
    <w:rsid w:val="007D7963"/>
    <w:rsid w:val="007D7FC6"/>
    <w:rsid w:val="007E05DA"/>
    <w:rsid w:val="007E0A4D"/>
    <w:rsid w:val="007E1B02"/>
    <w:rsid w:val="007E317E"/>
    <w:rsid w:val="007E3853"/>
    <w:rsid w:val="007E5951"/>
    <w:rsid w:val="007F1B24"/>
    <w:rsid w:val="007F2F17"/>
    <w:rsid w:val="007F74ED"/>
    <w:rsid w:val="007F7C97"/>
    <w:rsid w:val="00800485"/>
    <w:rsid w:val="0081224E"/>
    <w:rsid w:val="00814C13"/>
    <w:rsid w:val="008162E0"/>
    <w:rsid w:val="00817708"/>
    <w:rsid w:val="00821FDA"/>
    <w:rsid w:val="00827E80"/>
    <w:rsid w:val="008315D1"/>
    <w:rsid w:val="00831BC2"/>
    <w:rsid w:val="00832464"/>
    <w:rsid w:val="008351BB"/>
    <w:rsid w:val="008368F3"/>
    <w:rsid w:val="00837497"/>
    <w:rsid w:val="00841520"/>
    <w:rsid w:val="00841709"/>
    <w:rsid w:val="00842D08"/>
    <w:rsid w:val="00843AA3"/>
    <w:rsid w:val="008456F8"/>
    <w:rsid w:val="00851579"/>
    <w:rsid w:val="00861DAA"/>
    <w:rsid w:val="00863BF9"/>
    <w:rsid w:val="008656D8"/>
    <w:rsid w:val="0086679E"/>
    <w:rsid w:val="0087593A"/>
    <w:rsid w:val="00880C8F"/>
    <w:rsid w:val="0088220F"/>
    <w:rsid w:val="00882791"/>
    <w:rsid w:val="008955FB"/>
    <w:rsid w:val="00896A01"/>
    <w:rsid w:val="008970C6"/>
    <w:rsid w:val="008A034B"/>
    <w:rsid w:val="008A4BF2"/>
    <w:rsid w:val="008A73D6"/>
    <w:rsid w:val="008B0A2E"/>
    <w:rsid w:val="008B0AE3"/>
    <w:rsid w:val="008B13C1"/>
    <w:rsid w:val="008B2600"/>
    <w:rsid w:val="008D1EA3"/>
    <w:rsid w:val="008D3661"/>
    <w:rsid w:val="008D7215"/>
    <w:rsid w:val="008E12EA"/>
    <w:rsid w:val="008E21BD"/>
    <w:rsid w:val="008E2D88"/>
    <w:rsid w:val="008E342D"/>
    <w:rsid w:val="008E47AE"/>
    <w:rsid w:val="008F2AE4"/>
    <w:rsid w:val="008F3BD4"/>
    <w:rsid w:val="008F7455"/>
    <w:rsid w:val="008F7ACA"/>
    <w:rsid w:val="00900140"/>
    <w:rsid w:val="00904A18"/>
    <w:rsid w:val="00904FB9"/>
    <w:rsid w:val="00910007"/>
    <w:rsid w:val="00910048"/>
    <w:rsid w:val="009131C6"/>
    <w:rsid w:val="009141AB"/>
    <w:rsid w:val="009163EA"/>
    <w:rsid w:val="009168FB"/>
    <w:rsid w:val="009205F3"/>
    <w:rsid w:val="0092178A"/>
    <w:rsid w:val="00924AA7"/>
    <w:rsid w:val="00924C26"/>
    <w:rsid w:val="00925626"/>
    <w:rsid w:val="00931F80"/>
    <w:rsid w:val="00941C8C"/>
    <w:rsid w:val="00942BB9"/>
    <w:rsid w:val="009447B1"/>
    <w:rsid w:val="00944F91"/>
    <w:rsid w:val="009462A4"/>
    <w:rsid w:val="00947331"/>
    <w:rsid w:val="00947661"/>
    <w:rsid w:val="00947C39"/>
    <w:rsid w:val="009506C5"/>
    <w:rsid w:val="00950984"/>
    <w:rsid w:val="00950A79"/>
    <w:rsid w:val="009513BB"/>
    <w:rsid w:val="009520F3"/>
    <w:rsid w:val="00954B84"/>
    <w:rsid w:val="009606F0"/>
    <w:rsid w:val="009643EC"/>
    <w:rsid w:val="009650C6"/>
    <w:rsid w:val="00966683"/>
    <w:rsid w:val="0096756A"/>
    <w:rsid w:val="00970790"/>
    <w:rsid w:val="00971B74"/>
    <w:rsid w:val="00972B15"/>
    <w:rsid w:val="00973465"/>
    <w:rsid w:val="00974FC3"/>
    <w:rsid w:val="009750FE"/>
    <w:rsid w:val="009763E7"/>
    <w:rsid w:val="00976BE0"/>
    <w:rsid w:val="00976F0F"/>
    <w:rsid w:val="009846AB"/>
    <w:rsid w:val="0098773D"/>
    <w:rsid w:val="009944DC"/>
    <w:rsid w:val="00995DDB"/>
    <w:rsid w:val="009974DE"/>
    <w:rsid w:val="009A1C48"/>
    <w:rsid w:val="009B2823"/>
    <w:rsid w:val="009B2A0D"/>
    <w:rsid w:val="009B73AB"/>
    <w:rsid w:val="009C3034"/>
    <w:rsid w:val="009C3196"/>
    <w:rsid w:val="009C4EF5"/>
    <w:rsid w:val="009C61FC"/>
    <w:rsid w:val="009D089F"/>
    <w:rsid w:val="009D5A10"/>
    <w:rsid w:val="009D79F4"/>
    <w:rsid w:val="009E0661"/>
    <w:rsid w:val="009E270F"/>
    <w:rsid w:val="009E3A04"/>
    <w:rsid w:val="009E7E13"/>
    <w:rsid w:val="009F2C39"/>
    <w:rsid w:val="009F530B"/>
    <w:rsid w:val="00A0517B"/>
    <w:rsid w:val="00A0531A"/>
    <w:rsid w:val="00A05AF6"/>
    <w:rsid w:val="00A10A7D"/>
    <w:rsid w:val="00A1383C"/>
    <w:rsid w:val="00A165A0"/>
    <w:rsid w:val="00A208AE"/>
    <w:rsid w:val="00A21621"/>
    <w:rsid w:val="00A23565"/>
    <w:rsid w:val="00A27818"/>
    <w:rsid w:val="00A33E4B"/>
    <w:rsid w:val="00A360BD"/>
    <w:rsid w:val="00A44CE1"/>
    <w:rsid w:val="00A502AE"/>
    <w:rsid w:val="00A51A07"/>
    <w:rsid w:val="00A52B10"/>
    <w:rsid w:val="00A54E68"/>
    <w:rsid w:val="00A57671"/>
    <w:rsid w:val="00A66248"/>
    <w:rsid w:val="00A71D6C"/>
    <w:rsid w:val="00A72EC2"/>
    <w:rsid w:val="00A73765"/>
    <w:rsid w:val="00A73B1B"/>
    <w:rsid w:val="00A75404"/>
    <w:rsid w:val="00A75AA2"/>
    <w:rsid w:val="00A76D26"/>
    <w:rsid w:val="00A82179"/>
    <w:rsid w:val="00A93D29"/>
    <w:rsid w:val="00A93FF7"/>
    <w:rsid w:val="00A95793"/>
    <w:rsid w:val="00A95F7F"/>
    <w:rsid w:val="00A96892"/>
    <w:rsid w:val="00AA114A"/>
    <w:rsid w:val="00AA35BF"/>
    <w:rsid w:val="00AA415E"/>
    <w:rsid w:val="00AA7F27"/>
    <w:rsid w:val="00AB0B20"/>
    <w:rsid w:val="00AB1BE2"/>
    <w:rsid w:val="00AB226F"/>
    <w:rsid w:val="00AC247C"/>
    <w:rsid w:val="00AC3150"/>
    <w:rsid w:val="00AC7FE3"/>
    <w:rsid w:val="00AD3260"/>
    <w:rsid w:val="00AD514E"/>
    <w:rsid w:val="00AD787E"/>
    <w:rsid w:val="00AE2318"/>
    <w:rsid w:val="00AF7164"/>
    <w:rsid w:val="00B0048D"/>
    <w:rsid w:val="00B020F5"/>
    <w:rsid w:val="00B042C7"/>
    <w:rsid w:val="00B06F3F"/>
    <w:rsid w:val="00B106FA"/>
    <w:rsid w:val="00B1179C"/>
    <w:rsid w:val="00B13B52"/>
    <w:rsid w:val="00B16010"/>
    <w:rsid w:val="00B22F1B"/>
    <w:rsid w:val="00B238EE"/>
    <w:rsid w:val="00B23E31"/>
    <w:rsid w:val="00B269D7"/>
    <w:rsid w:val="00B26A0E"/>
    <w:rsid w:val="00B33D9A"/>
    <w:rsid w:val="00B37E44"/>
    <w:rsid w:val="00B406FA"/>
    <w:rsid w:val="00B454D6"/>
    <w:rsid w:val="00B457C0"/>
    <w:rsid w:val="00B5126C"/>
    <w:rsid w:val="00B52C27"/>
    <w:rsid w:val="00B52F64"/>
    <w:rsid w:val="00B555EB"/>
    <w:rsid w:val="00B565AA"/>
    <w:rsid w:val="00B566AF"/>
    <w:rsid w:val="00B6111F"/>
    <w:rsid w:val="00B6390B"/>
    <w:rsid w:val="00B74694"/>
    <w:rsid w:val="00B74D14"/>
    <w:rsid w:val="00B751CD"/>
    <w:rsid w:val="00B76A8B"/>
    <w:rsid w:val="00B80CE7"/>
    <w:rsid w:val="00B81502"/>
    <w:rsid w:val="00B85B4F"/>
    <w:rsid w:val="00B91329"/>
    <w:rsid w:val="00B9244F"/>
    <w:rsid w:val="00B9347F"/>
    <w:rsid w:val="00B934F8"/>
    <w:rsid w:val="00B93855"/>
    <w:rsid w:val="00B93A61"/>
    <w:rsid w:val="00B95E94"/>
    <w:rsid w:val="00BA277D"/>
    <w:rsid w:val="00BA39E6"/>
    <w:rsid w:val="00BA5005"/>
    <w:rsid w:val="00BA56ED"/>
    <w:rsid w:val="00BA671B"/>
    <w:rsid w:val="00BA67C9"/>
    <w:rsid w:val="00BA689E"/>
    <w:rsid w:val="00BA7BC1"/>
    <w:rsid w:val="00BB01C4"/>
    <w:rsid w:val="00BB04A5"/>
    <w:rsid w:val="00BB37A5"/>
    <w:rsid w:val="00BB3BA6"/>
    <w:rsid w:val="00BC3479"/>
    <w:rsid w:val="00BC4903"/>
    <w:rsid w:val="00BC66A3"/>
    <w:rsid w:val="00BC6941"/>
    <w:rsid w:val="00BC7861"/>
    <w:rsid w:val="00BD089C"/>
    <w:rsid w:val="00BD3287"/>
    <w:rsid w:val="00BE0E3D"/>
    <w:rsid w:val="00BE2882"/>
    <w:rsid w:val="00BE6419"/>
    <w:rsid w:val="00BF1046"/>
    <w:rsid w:val="00BF14A5"/>
    <w:rsid w:val="00BF1658"/>
    <w:rsid w:val="00BF1EE9"/>
    <w:rsid w:val="00BF6799"/>
    <w:rsid w:val="00BF756C"/>
    <w:rsid w:val="00C078BD"/>
    <w:rsid w:val="00C07D35"/>
    <w:rsid w:val="00C100B3"/>
    <w:rsid w:val="00C1784A"/>
    <w:rsid w:val="00C17AB8"/>
    <w:rsid w:val="00C23F54"/>
    <w:rsid w:val="00C24294"/>
    <w:rsid w:val="00C242F7"/>
    <w:rsid w:val="00C24F13"/>
    <w:rsid w:val="00C2669A"/>
    <w:rsid w:val="00C278E7"/>
    <w:rsid w:val="00C3002C"/>
    <w:rsid w:val="00C31CB0"/>
    <w:rsid w:val="00C33282"/>
    <w:rsid w:val="00C33F04"/>
    <w:rsid w:val="00C34061"/>
    <w:rsid w:val="00C34C08"/>
    <w:rsid w:val="00C355DD"/>
    <w:rsid w:val="00C36BFF"/>
    <w:rsid w:val="00C37F5D"/>
    <w:rsid w:val="00C4045D"/>
    <w:rsid w:val="00C505C3"/>
    <w:rsid w:val="00C51DFC"/>
    <w:rsid w:val="00C56260"/>
    <w:rsid w:val="00C5715C"/>
    <w:rsid w:val="00C65A79"/>
    <w:rsid w:val="00C70F5F"/>
    <w:rsid w:val="00C75B8B"/>
    <w:rsid w:val="00C75BBE"/>
    <w:rsid w:val="00C773D8"/>
    <w:rsid w:val="00C805CD"/>
    <w:rsid w:val="00C87590"/>
    <w:rsid w:val="00C95020"/>
    <w:rsid w:val="00C96FBA"/>
    <w:rsid w:val="00C97F77"/>
    <w:rsid w:val="00CA02E4"/>
    <w:rsid w:val="00CA3E1C"/>
    <w:rsid w:val="00CA5AD1"/>
    <w:rsid w:val="00CA6E56"/>
    <w:rsid w:val="00CA7223"/>
    <w:rsid w:val="00CB16C9"/>
    <w:rsid w:val="00CB1CC0"/>
    <w:rsid w:val="00CB2061"/>
    <w:rsid w:val="00CB4CE4"/>
    <w:rsid w:val="00CB501F"/>
    <w:rsid w:val="00CC1625"/>
    <w:rsid w:val="00CC2B91"/>
    <w:rsid w:val="00CC2BAF"/>
    <w:rsid w:val="00CC43AB"/>
    <w:rsid w:val="00CC4722"/>
    <w:rsid w:val="00CD1B6C"/>
    <w:rsid w:val="00CD7616"/>
    <w:rsid w:val="00CD7888"/>
    <w:rsid w:val="00CE2BA6"/>
    <w:rsid w:val="00CE48C4"/>
    <w:rsid w:val="00CF0F6D"/>
    <w:rsid w:val="00CF2038"/>
    <w:rsid w:val="00CF36EF"/>
    <w:rsid w:val="00CF6ACC"/>
    <w:rsid w:val="00D015AB"/>
    <w:rsid w:val="00D05667"/>
    <w:rsid w:val="00D0607B"/>
    <w:rsid w:val="00D06823"/>
    <w:rsid w:val="00D07332"/>
    <w:rsid w:val="00D124AC"/>
    <w:rsid w:val="00D13029"/>
    <w:rsid w:val="00D13A80"/>
    <w:rsid w:val="00D17C82"/>
    <w:rsid w:val="00D2087F"/>
    <w:rsid w:val="00D258F5"/>
    <w:rsid w:val="00D26DD7"/>
    <w:rsid w:val="00D27667"/>
    <w:rsid w:val="00D276BD"/>
    <w:rsid w:val="00D3151F"/>
    <w:rsid w:val="00D3210A"/>
    <w:rsid w:val="00D35741"/>
    <w:rsid w:val="00D3595A"/>
    <w:rsid w:val="00D411DF"/>
    <w:rsid w:val="00D4248A"/>
    <w:rsid w:val="00D47C45"/>
    <w:rsid w:val="00D525FF"/>
    <w:rsid w:val="00D554C9"/>
    <w:rsid w:val="00D56F85"/>
    <w:rsid w:val="00D57E3B"/>
    <w:rsid w:val="00D61AF3"/>
    <w:rsid w:val="00D61B2D"/>
    <w:rsid w:val="00D62C6D"/>
    <w:rsid w:val="00D66C7B"/>
    <w:rsid w:val="00D67105"/>
    <w:rsid w:val="00D7295C"/>
    <w:rsid w:val="00D7354A"/>
    <w:rsid w:val="00D73C0F"/>
    <w:rsid w:val="00D826F1"/>
    <w:rsid w:val="00D840F6"/>
    <w:rsid w:val="00D86646"/>
    <w:rsid w:val="00D87AC7"/>
    <w:rsid w:val="00D91FA5"/>
    <w:rsid w:val="00D920CA"/>
    <w:rsid w:val="00D92644"/>
    <w:rsid w:val="00D928BF"/>
    <w:rsid w:val="00D93114"/>
    <w:rsid w:val="00D94213"/>
    <w:rsid w:val="00D943A8"/>
    <w:rsid w:val="00DA39D9"/>
    <w:rsid w:val="00DA5089"/>
    <w:rsid w:val="00DA7155"/>
    <w:rsid w:val="00DB24FF"/>
    <w:rsid w:val="00DB28D3"/>
    <w:rsid w:val="00DB3018"/>
    <w:rsid w:val="00DB43D0"/>
    <w:rsid w:val="00DB4732"/>
    <w:rsid w:val="00DB47AC"/>
    <w:rsid w:val="00DB7D87"/>
    <w:rsid w:val="00DC2C5A"/>
    <w:rsid w:val="00DC424B"/>
    <w:rsid w:val="00DC433E"/>
    <w:rsid w:val="00DC458C"/>
    <w:rsid w:val="00DC5845"/>
    <w:rsid w:val="00DC5EB6"/>
    <w:rsid w:val="00DD2417"/>
    <w:rsid w:val="00DD3A5D"/>
    <w:rsid w:val="00DD4593"/>
    <w:rsid w:val="00DD541B"/>
    <w:rsid w:val="00DE2238"/>
    <w:rsid w:val="00DE40FD"/>
    <w:rsid w:val="00DE5345"/>
    <w:rsid w:val="00DE6561"/>
    <w:rsid w:val="00DF08D1"/>
    <w:rsid w:val="00DF10F7"/>
    <w:rsid w:val="00DF243E"/>
    <w:rsid w:val="00DF2C1B"/>
    <w:rsid w:val="00DF2E5B"/>
    <w:rsid w:val="00E007F3"/>
    <w:rsid w:val="00E00F75"/>
    <w:rsid w:val="00E05173"/>
    <w:rsid w:val="00E12C06"/>
    <w:rsid w:val="00E172D8"/>
    <w:rsid w:val="00E21AA0"/>
    <w:rsid w:val="00E229A1"/>
    <w:rsid w:val="00E243C6"/>
    <w:rsid w:val="00E301A0"/>
    <w:rsid w:val="00E31254"/>
    <w:rsid w:val="00E33BBB"/>
    <w:rsid w:val="00E4243A"/>
    <w:rsid w:val="00E47ED0"/>
    <w:rsid w:val="00E5041F"/>
    <w:rsid w:val="00E50A07"/>
    <w:rsid w:val="00E533FD"/>
    <w:rsid w:val="00E53E80"/>
    <w:rsid w:val="00E549CB"/>
    <w:rsid w:val="00E54E80"/>
    <w:rsid w:val="00E55C01"/>
    <w:rsid w:val="00E57626"/>
    <w:rsid w:val="00E6069B"/>
    <w:rsid w:val="00E61B9D"/>
    <w:rsid w:val="00E62F22"/>
    <w:rsid w:val="00E62F33"/>
    <w:rsid w:val="00E64151"/>
    <w:rsid w:val="00E64FCF"/>
    <w:rsid w:val="00E65B0A"/>
    <w:rsid w:val="00E6749E"/>
    <w:rsid w:val="00E73BE6"/>
    <w:rsid w:val="00E73EDF"/>
    <w:rsid w:val="00E7556F"/>
    <w:rsid w:val="00E819F3"/>
    <w:rsid w:val="00E83718"/>
    <w:rsid w:val="00E83722"/>
    <w:rsid w:val="00E84936"/>
    <w:rsid w:val="00E85EDD"/>
    <w:rsid w:val="00E86E16"/>
    <w:rsid w:val="00E876BB"/>
    <w:rsid w:val="00E91297"/>
    <w:rsid w:val="00E933B1"/>
    <w:rsid w:val="00E941F4"/>
    <w:rsid w:val="00E947CE"/>
    <w:rsid w:val="00E956B8"/>
    <w:rsid w:val="00EA1CF4"/>
    <w:rsid w:val="00EA1F89"/>
    <w:rsid w:val="00EA3277"/>
    <w:rsid w:val="00EA5508"/>
    <w:rsid w:val="00EA65A6"/>
    <w:rsid w:val="00EB317E"/>
    <w:rsid w:val="00EB5CC4"/>
    <w:rsid w:val="00EC6038"/>
    <w:rsid w:val="00ED12DE"/>
    <w:rsid w:val="00ED40B8"/>
    <w:rsid w:val="00ED460F"/>
    <w:rsid w:val="00ED5BD6"/>
    <w:rsid w:val="00EE193C"/>
    <w:rsid w:val="00EE2157"/>
    <w:rsid w:val="00EE247D"/>
    <w:rsid w:val="00EE2492"/>
    <w:rsid w:val="00EE6212"/>
    <w:rsid w:val="00EE7F4B"/>
    <w:rsid w:val="00EF0F15"/>
    <w:rsid w:val="00EF2A38"/>
    <w:rsid w:val="00EF2F65"/>
    <w:rsid w:val="00EF5514"/>
    <w:rsid w:val="00EF630A"/>
    <w:rsid w:val="00EF751C"/>
    <w:rsid w:val="00EF7CCE"/>
    <w:rsid w:val="00F02439"/>
    <w:rsid w:val="00F02CF3"/>
    <w:rsid w:val="00F10048"/>
    <w:rsid w:val="00F14993"/>
    <w:rsid w:val="00F1569F"/>
    <w:rsid w:val="00F15778"/>
    <w:rsid w:val="00F16209"/>
    <w:rsid w:val="00F17C88"/>
    <w:rsid w:val="00F2197B"/>
    <w:rsid w:val="00F239E4"/>
    <w:rsid w:val="00F244FF"/>
    <w:rsid w:val="00F2525D"/>
    <w:rsid w:val="00F30155"/>
    <w:rsid w:val="00F31F34"/>
    <w:rsid w:val="00F34C2E"/>
    <w:rsid w:val="00F357A5"/>
    <w:rsid w:val="00F41C3B"/>
    <w:rsid w:val="00F5251C"/>
    <w:rsid w:val="00F53FA8"/>
    <w:rsid w:val="00F56E2D"/>
    <w:rsid w:val="00F60C63"/>
    <w:rsid w:val="00F60EE4"/>
    <w:rsid w:val="00F61A39"/>
    <w:rsid w:val="00F61E1E"/>
    <w:rsid w:val="00F63860"/>
    <w:rsid w:val="00F66EB5"/>
    <w:rsid w:val="00F7028A"/>
    <w:rsid w:val="00F7121D"/>
    <w:rsid w:val="00F71EAD"/>
    <w:rsid w:val="00F72A8E"/>
    <w:rsid w:val="00F8164D"/>
    <w:rsid w:val="00F81AD9"/>
    <w:rsid w:val="00F834D6"/>
    <w:rsid w:val="00F856B5"/>
    <w:rsid w:val="00F86712"/>
    <w:rsid w:val="00F86DDE"/>
    <w:rsid w:val="00F94854"/>
    <w:rsid w:val="00F95B49"/>
    <w:rsid w:val="00F965F3"/>
    <w:rsid w:val="00F97265"/>
    <w:rsid w:val="00FA2070"/>
    <w:rsid w:val="00FA306E"/>
    <w:rsid w:val="00FB05E4"/>
    <w:rsid w:val="00FB3644"/>
    <w:rsid w:val="00FB39BF"/>
    <w:rsid w:val="00FB6707"/>
    <w:rsid w:val="00FC00DF"/>
    <w:rsid w:val="00FC55AE"/>
    <w:rsid w:val="00FC6A4D"/>
    <w:rsid w:val="00FD03D6"/>
    <w:rsid w:val="00FD07D2"/>
    <w:rsid w:val="00FD3CFD"/>
    <w:rsid w:val="00FD3EE3"/>
    <w:rsid w:val="00FD431F"/>
    <w:rsid w:val="00FD4D2E"/>
    <w:rsid w:val="00FD7A60"/>
    <w:rsid w:val="00FD7F69"/>
    <w:rsid w:val="00FE0840"/>
    <w:rsid w:val="00FE4132"/>
    <w:rsid w:val="00FE7AC3"/>
    <w:rsid w:val="00FF3F48"/>
    <w:rsid w:val="00FF5073"/>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link w:val="Heading2Char"/>
    <w:qFormat/>
    <w:rsid w:val="00BA5005"/>
    <w:pPr>
      <w:keepNext/>
      <w:outlineLvl w:val="1"/>
    </w:pPr>
    <w:rPr>
      <w:b/>
      <w:sz w:val="20"/>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iPriority w:val="99"/>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3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paragraph" w:customStyle="1" w:styleId="CcList">
    <w:name w:val="Cc List"/>
    <w:basedOn w:val="Normal"/>
    <w:rsid w:val="00576065"/>
    <w:pPr>
      <w:keepLines/>
      <w:spacing w:line="220" w:lineRule="atLeast"/>
      <w:ind w:left="360" w:hanging="360"/>
      <w:jc w:val="both"/>
    </w:pPr>
    <w:rPr>
      <w:spacing w:val="-5"/>
      <w:sz w:val="20"/>
    </w:rPr>
  </w:style>
  <w:style w:type="paragraph" w:customStyle="1" w:styleId="SignatureCompany">
    <w:name w:val="Signature Company"/>
    <w:basedOn w:val="Signature"/>
    <w:next w:val="Normal"/>
    <w:rsid w:val="00576065"/>
    <w:pPr>
      <w:keepNext/>
      <w:spacing w:line="220" w:lineRule="atLeast"/>
      <w:ind w:left="0"/>
    </w:pPr>
    <w:rPr>
      <w:spacing w:val="-5"/>
      <w:sz w:val="20"/>
    </w:rPr>
  </w:style>
  <w:style w:type="paragraph" w:styleId="Signature">
    <w:name w:val="Signature"/>
    <w:basedOn w:val="Normal"/>
    <w:link w:val="SignatureChar"/>
    <w:uiPriority w:val="99"/>
    <w:semiHidden/>
    <w:unhideWhenUsed/>
    <w:rsid w:val="00576065"/>
    <w:pPr>
      <w:ind w:left="4320"/>
    </w:pPr>
  </w:style>
  <w:style w:type="character" w:customStyle="1" w:styleId="SignatureChar">
    <w:name w:val="Signature Char"/>
    <w:basedOn w:val="DefaultParagraphFont"/>
    <w:link w:val="Signature"/>
    <w:uiPriority w:val="99"/>
    <w:semiHidden/>
    <w:rsid w:val="00576065"/>
    <w:rPr>
      <w:rFonts w:ascii="Arial" w:hAnsi="Arial"/>
      <w:sz w:val="22"/>
    </w:rPr>
  </w:style>
  <w:style w:type="character" w:customStyle="1" w:styleId="UnresolvedMention1">
    <w:name w:val="Unresolved Mention1"/>
    <w:basedOn w:val="DefaultParagraphFont"/>
    <w:uiPriority w:val="99"/>
    <w:semiHidden/>
    <w:unhideWhenUsed/>
    <w:rsid w:val="00551D9A"/>
    <w:rPr>
      <w:color w:val="808080"/>
      <w:shd w:val="clear" w:color="auto" w:fill="E6E6E6"/>
    </w:rPr>
  </w:style>
  <w:style w:type="character" w:customStyle="1" w:styleId="Heading2Char">
    <w:name w:val="Heading 2 Char"/>
    <w:basedOn w:val="DefaultParagraphFont"/>
    <w:link w:val="Heading2"/>
    <w:rsid w:val="0029017F"/>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785">
      <w:bodyDiv w:val="1"/>
      <w:marLeft w:val="0"/>
      <w:marRight w:val="0"/>
      <w:marTop w:val="0"/>
      <w:marBottom w:val="0"/>
      <w:divBdr>
        <w:top w:val="none" w:sz="0" w:space="0" w:color="auto"/>
        <w:left w:val="none" w:sz="0" w:space="0" w:color="auto"/>
        <w:bottom w:val="none" w:sz="0" w:space="0" w:color="auto"/>
        <w:right w:val="none" w:sz="0" w:space="0" w:color="auto"/>
      </w:divBdr>
    </w:div>
    <w:div w:id="114688057">
      <w:bodyDiv w:val="1"/>
      <w:marLeft w:val="0"/>
      <w:marRight w:val="0"/>
      <w:marTop w:val="0"/>
      <w:marBottom w:val="0"/>
      <w:divBdr>
        <w:top w:val="none" w:sz="0" w:space="0" w:color="auto"/>
        <w:left w:val="none" w:sz="0" w:space="0" w:color="auto"/>
        <w:bottom w:val="none" w:sz="0" w:space="0" w:color="auto"/>
        <w:right w:val="none" w:sz="0" w:space="0" w:color="auto"/>
      </w:divBdr>
    </w:div>
    <w:div w:id="128861614">
      <w:bodyDiv w:val="1"/>
      <w:marLeft w:val="0"/>
      <w:marRight w:val="0"/>
      <w:marTop w:val="0"/>
      <w:marBottom w:val="0"/>
      <w:divBdr>
        <w:top w:val="none" w:sz="0" w:space="0" w:color="auto"/>
        <w:left w:val="none" w:sz="0" w:space="0" w:color="auto"/>
        <w:bottom w:val="none" w:sz="0" w:space="0" w:color="auto"/>
        <w:right w:val="none" w:sz="0" w:space="0" w:color="auto"/>
      </w:divBdr>
    </w:div>
    <w:div w:id="156727971">
      <w:bodyDiv w:val="1"/>
      <w:marLeft w:val="0"/>
      <w:marRight w:val="0"/>
      <w:marTop w:val="0"/>
      <w:marBottom w:val="0"/>
      <w:divBdr>
        <w:top w:val="none" w:sz="0" w:space="0" w:color="auto"/>
        <w:left w:val="none" w:sz="0" w:space="0" w:color="auto"/>
        <w:bottom w:val="none" w:sz="0" w:space="0" w:color="auto"/>
        <w:right w:val="none" w:sz="0" w:space="0" w:color="auto"/>
      </w:divBdr>
    </w:div>
    <w:div w:id="182286784">
      <w:bodyDiv w:val="1"/>
      <w:marLeft w:val="0"/>
      <w:marRight w:val="0"/>
      <w:marTop w:val="0"/>
      <w:marBottom w:val="0"/>
      <w:divBdr>
        <w:top w:val="none" w:sz="0" w:space="0" w:color="auto"/>
        <w:left w:val="none" w:sz="0" w:space="0" w:color="auto"/>
        <w:bottom w:val="none" w:sz="0" w:space="0" w:color="auto"/>
        <w:right w:val="none" w:sz="0" w:space="0" w:color="auto"/>
      </w:divBdr>
    </w:div>
    <w:div w:id="243994000">
      <w:bodyDiv w:val="1"/>
      <w:marLeft w:val="0"/>
      <w:marRight w:val="0"/>
      <w:marTop w:val="0"/>
      <w:marBottom w:val="0"/>
      <w:divBdr>
        <w:top w:val="none" w:sz="0" w:space="0" w:color="auto"/>
        <w:left w:val="none" w:sz="0" w:space="0" w:color="auto"/>
        <w:bottom w:val="none" w:sz="0" w:space="0" w:color="auto"/>
        <w:right w:val="none" w:sz="0" w:space="0" w:color="auto"/>
      </w:divBdr>
    </w:div>
    <w:div w:id="260068407">
      <w:bodyDiv w:val="1"/>
      <w:marLeft w:val="0"/>
      <w:marRight w:val="0"/>
      <w:marTop w:val="0"/>
      <w:marBottom w:val="0"/>
      <w:divBdr>
        <w:top w:val="none" w:sz="0" w:space="0" w:color="auto"/>
        <w:left w:val="none" w:sz="0" w:space="0" w:color="auto"/>
        <w:bottom w:val="none" w:sz="0" w:space="0" w:color="auto"/>
        <w:right w:val="none" w:sz="0" w:space="0" w:color="auto"/>
      </w:divBdr>
    </w:div>
    <w:div w:id="332730336">
      <w:bodyDiv w:val="1"/>
      <w:marLeft w:val="0"/>
      <w:marRight w:val="0"/>
      <w:marTop w:val="0"/>
      <w:marBottom w:val="0"/>
      <w:divBdr>
        <w:top w:val="none" w:sz="0" w:space="0" w:color="auto"/>
        <w:left w:val="none" w:sz="0" w:space="0" w:color="auto"/>
        <w:bottom w:val="none" w:sz="0" w:space="0" w:color="auto"/>
        <w:right w:val="none" w:sz="0" w:space="0" w:color="auto"/>
      </w:divBdr>
    </w:div>
    <w:div w:id="394667592">
      <w:bodyDiv w:val="1"/>
      <w:marLeft w:val="0"/>
      <w:marRight w:val="0"/>
      <w:marTop w:val="0"/>
      <w:marBottom w:val="0"/>
      <w:divBdr>
        <w:top w:val="none" w:sz="0" w:space="0" w:color="auto"/>
        <w:left w:val="none" w:sz="0" w:space="0" w:color="auto"/>
        <w:bottom w:val="none" w:sz="0" w:space="0" w:color="auto"/>
        <w:right w:val="none" w:sz="0" w:space="0" w:color="auto"/>
      </w:divBdr>
    </w:div>
    <w:div w:id="541400182">
      <w:bodyDiv w:val="1"/>
      <w:marLeft w:val="0"/>
      <w:marRight w:val="0"/>
      <w:marTop w:val="0"/>
      <w:marBottom w:val="0"/>
      <w:divBdr>
        <w:top w:val="none" w:sz="0" w:space="0" w:color="auto"/>
        <w:left w:val="none" w:sz="0" w:space="0" w:color="auto"/>
        <w:bottom w:val="none" w:sz="0" w:space="0" w:color="auto"/>
        <w:right w:val="none" w:sz="0" w:space="0" w:color="auto"/>
      </w:divBdr>
    </w:div>
    <w:div w:id="699941416">
      <w:bodyDiv w:val="1"/>
      <w:marLeft w:val="0"/>
      <w:marRight w:val="0"/>
      <w:marTop w:val="0"/>
      <w:marBottom w:val="0"/>
      <w:divBdr>
        <w:top w:val="none" w:sz="0" w:space="0" w:color="auto"/>
        <w:left w:val="none" w:sz="0" w:space="0" w:color="auto"/>
        <w:bottom w:val="none" w:sz="0" w:space="0" w:color="auto"/>
        <w:right w:val="none" w:sz="0" w:space="0" w:color="auto"/>
      </w:divBdr>
    </w:div>
    <w:div w:id="773522039">
      <w:bodyDiv w:val="1"/>
      <w:marLeft w:val="0"/>
      <w:marRight w:val="0"/>
      <w:marTop w:val="0"/>
      <w:marBottom w:val="0"/>
      <w:divBdr>
        <w:top w:val="none" w:sz="0" w:space="0" w:color="auto"/>
        <w:left w:val="none" w:sz="0" w:space="0" w:color="auto"/>
        <w:bottom w:val="none" w:sz="0" w:space="0" w:color="auto"/>
        <w:right w:val="none" w:sz="0" w:space="0" w:color="auto"/>
      </w:divBdr>
    </w:div>
    <w:div w:id="787435151">
      <w:bodyDiv w:val="1"/>
      <w:marLeft w:val="0"/>
      <w:marRight w:val="0"/>
      <w:marTop w:val="0"/>
      <w:marBottom w:val="0"/>
      <w:divBdr>
        <w:top w:val="none" w:sz="0" w:space="0" w:color="auto"/>
        <w:left w:val="none" w:sz="0" w:space="0" w:color="auto"/>
        <w:bottom w:val="none" w:sz="0" w:space="0" w:color="auto"/>
        <w:right w:val="none" w:sz="0" w:space="0" w:color="auto"/>
      </w:divBdr>
    </w:div>
    <w:div w:id="887645728">
      <w:bodyDiv w:val="1"/>
      <w:marLeft w:val="0"/>
      <w:marRight w:val="0"/>
      <w:marTop w:val="0"/>
      <w:marBottom w:val="0"/>
      <w:divBdr>
        <w:top w:val="none" w:sz="0" w:space="0" w:color="auto"/>
        <w:left w:val="none" w:sz="0" w:space="0" w:color="auto"/>
        <w:bottom w:val="none" w:sz="0" w:space="0" w:color="auto"/>
        <w:right w:val="none" w:sz="0" w:space="0" w:color="auto"/>
      </w:divBdr>
    </w:div>
    <w:div w:id="917402067">
      <w:bodyDiv w:val="1"/>
      <w:marLeft w:val="0"/>
      <w:marRight w:val="0"/>
      <w:marTop w:val="0"/>
      <w:marBottom w:val="0"/>
      <w:divBdr>
        <w:top w:val="none" w:sz="0" w:space="0" w:color="auto"/>
        <w:left w:val="none" w:sz="0" w:space="0" w:color="auto"/>
        <w:bottom w:val="none" w:sz="0" w:space="0" w:color="auto"/>
        <w:right w:val="none" w:sz="0" w:space="0" w:color="auto"/>
      </w:divBdr>
    </w:div>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015880706">
      <w:bodyDiv w:val="1"/>
      <w:marLeft w:val="0"/>
      <w:marRight w:val="0"/>
      <w:marTop w:val="0"/>
      <w:marBottom w:val="0"/>
      <w:divBdr>
        <w:top w:val="none" w:sz="0" w:space="0" w:color="auto"/>
        <w:left w:val="none" w:sz="0" w:space="0" w:color="auto"/>
        <w:bottom w:val="none" w:sz="0" w:space="0" w:color="auto"/>
        <w:right w:val="none" w:sz="0" w:space="0" w:color="auto"/>
      </w:divBdr>
    </w:div>
    <w:div w:id="1166284731">
      <w:bodyDiv w:val="1"/>
      <w:marLeft w:val="0"/>
      <w:marRight w:val="0"/>
      <w:marTop w:val="0"/>
      <w:marBottom w:val="0"/>
      <w:divBdr>
        <w:top w:val="none" w:sz="0" w:space="0" w:color="auto"/>
        <w:left w:val="none" w:sz="0" w:space="0" w:color="auto"/>
        <w:bottom w:val="none" w:sz="0" w:space="0" w:color="auto"/>
        <w:right w:val="none" w:sz="0" w:space="0" w:color="auto"/>
      </w:divBdr>
    </w:div>
    <w:div w:id="1250770493">
      <w:bodyDiv w:val="1"/>
      <w:marLeft w:val="0"/>
      <w:marRight w:val="0"/>
      <w:marTop w:val="0"/>
      <w:marBottom w:val="0"/>
      <w:divBdr>
        <w:top w:val="none" w:sz="0" w:space="0" w:color="auto"/>
        <w:left w:val="none" w:sz="0" w:space="0" w:color="auto"/>
        <w:bottom w:val="none" w:sz="0" w:space="0" w:color="auto"/>
        <w:right w:val="none" w:sz="0" w:space="0" w:color="auto"/>
      </w:divBdr>
    </w:div>
    <w:div w:id="1255014720">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 w:id="1410537202">
      <w:bodyDiv w:val="1"/>
      <w:marLeft w:val="0"/>
      <w:marRight w:val="0"/>
      <w:marTop w:val="0"/>
      <w:marBottom w:val="0"/>
      <w:divBdr>
        <w:top w:val="none" w:sz="0" w:space="0" w:color="auto"/>
        <w:left w:val="none" w:sz="0" w:space="0" w:color="auto"/>
        <w:bottom w:val="none" w:sz="0" w:space="0" w:color="auto"/>
        <w:right w:val="none" w:sz="0" w:space="0" w:color="auto"/>
      </w:divBdr>
    </w:div>
    <w:div w:id="1444685389">
      <w:bodyDiv w:val="1"/>
      <w:marLeft w:val="0"/>
      <w:marRight w:val="0"/>
      <w:marTop w:val="0"/>
      <w:marBottom w:val="0"/>
      <w:divBdr>
        <w:top w:val="none" w:sz="0" w:space="0" w:color="auto"/>
        <w:left w:val="none" w:sz="0" w:space="0" w:color="auto"/>
        <w:bottom w:val="none" w:sz="0" w:space="0" w:color="auto"/>
        <w:right w:val="none" w:sz="0" w:space="0" w:color="auto"/>
      </w:divBdr>
    </w:div>
    <w:div w:id="1617329868">
      <w:bodyDiv w:val="1"/>
      <w:marLeft w:val="0"/>
      <w:marRight w:val="0"/>
      <w:marTop w:val="0"/>
      <w:marBottom w:val="0"/>
      <w:divBdr>
        <w:top w:val="none" w:sz="0" w:space="0" w:color="auto"/>
        <w:left w:val="none" w:sz="0" w:space="0" w:color="auto"/>
        <w:bottom w:val="none" w:sz="0" w:space="0" w:color="auto"/>
        <w:right w:val="none" w:sz="0" w:space="0" w:color="auto"/>
      </w:divBdr>
    </w:div>
    <w:div w:id="1618022806">
      <w:bodyDiv w:val="1"/>
      <w:marLeft w:val="0"/>
      <w:marRight w:val="0"/>
      <w:marTop w:val="0"/>
      <w:marBottom w:val="0"/>
      <w:divBdr>
        <w:top w:val="none" w:sz="0" w:space="0" w:color="auto"/>
        <w:left w:val="none" w:sz="0" w:space="0" w:color="auto"/>
        <w:bottom w:val="none" w:sz="0" w:space="0" w:color="auto"/>
        <w:right w:val="none" w:sz="0" w:space="0" w:color="auto"/>
      </w:divBdr>
    </w:div>
    <w:div w:id="1670448021">
      <w:bodyDiv w:val="1"/>
      <w:marLeft w:val="0"/>
      <w:marRight w:val="0"/>
      <w:marTop w:val="0"/>
      <w:marBottom w:val="0"/>
      <w:divBdr>
        <w:top w:val="none" w:sz="0" w:space="0" w:color="auto"/>
        <w:left w:val="none" w:sz="0" w:space="0" w:color="auto"/>
        <w:bottom w:val="none" w:sz="0" w:space="0" w:color="auto"/>
        <w:right w:val="none" w:sz="0" w:space="0" w:color="auto"/>
      </w:divBdr>
    </w:div>
    <w:div w:id="1722362485">
      <w:bodyDiv w:val="1"/>
      <w:marLeft w:val="0"/>
      <w:marRight w:val="0"/>
      <w:marTop w:val="0"/>
      <w:marBottom w:val="0"/>
      <w:divBdr>
        <w:top w:val="none" w:sz="0" w:space="0" w:color="auto"/>
        <w:left w:val="none" w:sz="0" w:space="0" w:color="auto"/>
        <w:bottom w:val="none" w:sz="0" w:space="0" w:color="auto"/>
        <w:right w:val="none" w:sz="0" w:space="0" w:color="auto"/>
      </w:divBdr>
    </w:div>
    <w:div w:id="1891070534">
      <w:bodyDiv w:val="1"/>
      <w:marLeft w:val="0"/>
      <w:marRight w:val="0"/>
      <w:marTop w:val="0"/>
      <w:marBottom w:val="0"/>
      <w:divBdr>
        <w:top w:val="none" w:sz="0" w:space="0" w:color="auto"/>
        <w:left w:val="none" w:sz="0" w:space="0" w:color="auto"/>
        <w:bottom w:val="none" w:sz="0" w:space="0" w:color="auto"/>
        <w:right w:val="none" w:sz="0" w:space="0" w:color="auto"/>
      </w:divBdr>
    </w:div>
    <w:div w:id="1993676982">
      <w:bodyDiv w:val="1"/>
      <w:marLeft w:val="0"/>
      <w:marRight w:val="0"/>
      <w:marTop w:val="0"/>
      <w:marBottom w:val="0"/>
      <w:divBdr>
        <w:top w:val="none" w:sz="0" w:space="0" w:color="auto"/>
        <w:left w:val="none" w:sz="0" w:space="0" w:color="auto"/>
        <w:bottom w:val="none" w:sz="0" w:space="0" w:color="auto"/>
        <w:right w:val="none" w:sz="0" w:space="0" w:color="auto"/>
      </w:divBdr>
    </w:div>
    <w:div w:id="2081977296">
      <w:bodyDiv w:val="1"/>
      <w:marLeft w:val="0"/>
      <w:marRight w:val="0"/>
      <w:marTop w:val="0"/>
      <w:marBottom w:val="0"/>
      <w:divBdr>
        <w:top w:val="none" w:sz="0" w:space="0" w:color="auto"/>
        <w:left w:val="none" w:sz="0" w:space="0" w:color="auto"/>
        <w:bottom w:val="none" w:sz="0" w:space="0" w:color="auto"/>
        <w:right w:val="none" w:sz="0" w:space="0" w:color="auto"/>
      </w:divBdr>
    </w:div>
    <w:div w:id="21372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f.wi.gov/its-your-choice/2020/state-employee-retiree-health-plan/how-choose-enroll-your-benefits/life-events-guide" TargetMode="External"/><Relationship Id="rId18" Type="http://schemas.openxmlformats.org/officeDocument/2006/relationships/hyperlink" Target="https://etf.wi.gov/its-your-choice/2020/20et-2158/direct" TargetMode="External"/><Relationship Id="rId3" Type="http://schemas.openxmlformats.org/officeDocument/2006/relationships/customXml" Target="../customXml/item3.xml"/><Relationship Id="rId21" Type="http://schemas.openxmlformats.org/officeDocument/2006/relationships/hyperlink" Target="https://etf.wi.gov/its-your-choice/2020/20et-2156/direc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tf.wi.gov/its-your-choice/2020/20et-2128/dire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tf.wi.gov/its-your-choice/2020/20et-2108/direct" TargetMode="External"/><Relationship Id="rId20" Type="http://schemas.openxmlformats.org/officeDocument/2006/relationships/hyperlink" Target="https://etf.wi.gov/its-your-choice/2020/20et-2169/dir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tf.wi.gov/its-your-choice/2020/20et-2107/direc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tf.wi.gov/its-your-choice/2020/20et-2168/dire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a.wi.gov/ProcurementManual/Documents/PRO-307.pdf" TargetMode="External"/><Relationship Id="rId22" Type="http://schemas.openxmlformats.org/officeDocument/2006/relationships/hyperlink" Target="https://etf.wi.gov/its-your-choice/2020/20et-2107/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60c24f1-2fba-47cf-b31e-05a06f969bef">ETFPROJECTS-527899875-129</_dlc_DocId>
    <_dlc_DocIdUrl xmlns="960c24f1-2fba-47cf-b31e-05a06f969bef">
      <Url>https://share.etf.wisconsin.gov/sites/etf/oei/pmo/_layouts/15/DocIdRedir.aspx?ID=ETFPROJECTS-527899875-129</Url>
      <Description>ETFPROJECTS-527899875-129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9BCE32C3DE746ABEBD94C86C60E6B" ma:contentTypeVersion="1" ma:contentTypeDescription="Create a new document." ma:contentTypeScope="" ma:versionID="b47c1c71f6d956feccd1ba4b2dbf068e">
  <xsd:schema xmlns:xsd="http://www.w3.org/2001/XMLSchema" xmlns:xs="http://www.w3.org/2001/XMLSchema" xmlns:p="http://schemas.microsoft.com/office/2006/metadata/properties" xmlns:ns2="960c24f1-2fba-47cf-b31e-05a06f969bef" xmlns:ns3="5247b1ec-b84c-455c-a13c-ca262f20c2b4" targetNamespace="http://schemas.microsoft.com/office/2006/metadata/properties" ma:root="true" ma:fieldsID="c31266b158ce762a96685d670eccbb92" ns2:_="" ns3:_="">
    <xsd:import namespace="960c24f1-2fba-47cf-b31e-05a06f969bef"/>
    <xsd:import namespace="5247b1ec-b84c-455c-a13c-ca262f20c2b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47b1ec-b84c-455c-a13c-ca262f20c2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48EC-37B9-4738-8173-FF54C872420D}">
  <ds:schemaRefs>
    <ds:schemaRef ds:uri="http://schemas.microsoft.com/sharepoint/v3/contenttype/forms"/>
  </ds:schemaRefs>
</ds:datastoreItem>
</file>

<file path=customXml/itemProps2.xml><?xml version="1.0" encoding="utf-8"?>
<ds:datastoreItem xmlns:ds="http://schemas.openxmlformats.org/officeDocument/2006/customXml" ds:itemID="{4BEABD98-C768-40EC-BA4B-238420FC3BCE}">
  <ds:schemaRefs>
    <ds:schemaRef ds:uri="http://schemas.microsoft.com/office/infopath/2007/PartnerControls"/>
    <ds:schemaRef ds:uri="http://purl.org/dc/terms/"/>
    <ds:schemaRef ds:uri="http://schemas.microsoft.com/office/2006/documentManagement/types"/>
    <ds:schemaRef ds:uri="5247b1ec-b84c-455c-a13c-ca262f20c2b4"/>
    <ds:schemaRef ds:uri="http://purl.org/dc/elements/1.1/"/>
    <ds:schemaRef ds:uri="http://schemas.microsoft.com/office/2006/metadata/properties"/>
    <ds:schemaRef ds:uri="http://schemas.openxmlformats.org/package/2006/metadata/core-properties"/>
    <ds:schemaRef ds:uri="960c24f1-2fba-47cf-b31e-05a06f969bef"/>
    <ds:schemaRef ds:uri="http://www.w3.org/XML/1998/namespace"/>
    <ds:schemaRef ds:uri="http://purl.org/dc/dcmitype/"/>
  </ds:schemaRefs>
</ds:datastoreItem>
</file>

<file path=customXml/itemProps3.xml><?xml version="1.0" encoding="utf-8"?>
<ds:datastoreItem xmlns:ds="http://schemas.openxmlformats.org/officeDocument/2006/customXml" ds:itemID="{458C6782-513E-4DC5-BAA5-17234871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247b1ec-b84c-455c-a13c-ca262f20c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16429-FAC7-4983-BEBD-370F6770C6C2}">
  <ds:schemaRefs>
    <ds:schemaRef ds:uri="http://schemas.microsoft.com/sharepoint/events"/>
  </ds:schemaRefs>
</ds:datastoreItem>
</file>

<file path=customXml/itemProps5.xml><?xml version="1.0" encoding="utf-8"?>
<ds:datastoreItem xmlns:ds="http://schemas.openxmlformats.org/officeDocument/2006/customXml" ds:itemID="{66BE15C1-74D3-4CEB-8F05-2ECF3C32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15224</Words>
  <Characters>84883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99908</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cp:lastModifiedBy>Joanne Klaas</cp:lastModifiedBy>
  <cp:revision>4</cp:revision>
  <cp:lastPrinted>2017-11-07T16:20:00Z</cp:lastPrinted>
  <dcterms:created xsi:type="dcterms:W3CDTF">2020-04-06T19:36:00Z</dcterms:created>
  <dcterms:modified xsi:type="dcterms:W3CDTF">2020-04-06T19:49:00Z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y fmtid="{D5CDD505-2E9C-101B-9397-08002B2CF9AE}" pid="3" name="ContentTypeId">
    <vt:lpwstr>0x01010056D9BCE32C3DE746ABEBD94C86C60E6B</vt:lpwstr>
  </property>
  <property fmtid="{D5CDD505-2E9C-101B-9397-08002B2CF9AE}" pid="4" name="_dlc_DocIdItemGuid">
    <vt:lpwstr>a67a24e3-155b-4716-8c15-e09b525b0ae5</vt:lpwstr>
  </property>
</Properties>
</file>