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shd w:val="clear" w:color="auto" w:fill="BDD6EE" w:themeFill="accent5" w:themeFillTint="66"/>
        <w:tblLook w:val="04A0" w:firstRow="1" w:lastRow="0" w:firstColumn="1" w:lastColumn="0" w:noHBand="0" w:noVBand="1"/>
      </w:tblPr>
      <w:tblGrid>
        <w:gridCol w:w="588"/>
        <w:gridCol w:w="1662"/>
        <w:gridCol w:w="1260"/>
        <w:gridCol w:w="3420"/>
        <w:gridCol w:w="2430"/>
      </w:tblGrid>
      <w:tr w:rsidR="00EB5A2A" w:rsidRPr="009A2F34" w:rsidTr="00F309C0">
        <w:tc>
          <w:tcPr>
            <w:tcW w:w="588" w:type="dxa"/>
            <w:tcBorders>
              <w:bottom w:val="single" w:sz="4" w:space="0" w:color="FFFFFF"/>
            </w:tcBorders>
            <w:shd w:val="clear" w:color="auto" w:fill="44546A" w:themeFill="text2"/>
          </w:tcPr>
          <w:p w:rsidR="00EB5A2A" w:rsidRPr="009A2F34" w:rsidRDefault="00EB5A2A" w:rsidP="0000132A">
            <w:pPr>
              <w:rPr>
                <w:rFonts w:ascii="Arial" w:hAnsi="Arial" w:cs="Arial"/>
                <w:color w:val="FFFFFF" w:themeColor="background1"/>
              </w:rPr>
            </w:pPr>
            <w:r w:rsidRPr="009A2F34">
              <w:rPr>
                <w:rFonts w:ascii="Arial" w:hAnsi="Arial" w:cs="Arial"/>
                <w:color w:val="FFFFFF" w:themeColor="background1"/>
              </w:rPr>
              <w:t>Q #</w:t>
            </w:r>
          </w:p>
        </w:tc>
        <w:tc>
          <w:tcPr>
            <w:tcW w:w="1662" w:type="dxa"/>
            <w:tcBorders>
              <w:bottom w:val="single" w:sz="4" w:space="0" w:color="FFFFFF"/>
            </w:tcBorders>
            <w:shd w:val="clear" w:color="auto" w:fill="44546A" w:themeFill="text2"/>
          </w:tcPr>
          <w:p w:rsidR="00EB5A2A" w:rsidRPr="009A2F34" w:rsidRDefault="00EB5A2A" w:rsidP="0000132A">
            <w:pPr>
              <w:rPr>
                <w:rFonts w:ascii="Arial" w:hAnsi="Arial" w:cs="Arial"/>
                <w:color w:val="FFFFFF" w:themeColor="background1"/>
              </w:rPr>
            </w:pPr>
            <w:r w:rsidRPr="009A2F34">
              <w:rPr>
                <w:rFonts w:ascii="Arial" w:hAnsi="Arial" w:cs="Arial"/>
                <w:color w:val="FFFFFF" w:themeColor="background1"/>
              </w:rPr>
              <w:t>RFP Section</w:t>
            </w:r>
          </w:p>
        </w:tc>
        <w:tc>
          <w:tcPr>
            <w:tcW w:w="1260" w:type="dxa"/>
            <w:tcBorders>
              <w:bottom w:val="single" w:sz="4" w:space="0" w:color="FFFFFF"/>
            </w:tcBorders>
            <w:shd w:val="clear" w:color="auto" w:fill="44546A" w:themeFill="text2"/>
          </w:tcPr>
          <w:p w:rsidR="00EB5A2A" w:rsidRPr="009A2F34" w:rsidRDefault="00EB5A2A" w:rsidP="0000132A">
            <w:pPr>
              <w:rPr>
                <w:rFonts w:ascii="Arial" w:hAnsi="Arial" w:cs="Arial"/>
                <w:color w:val="FFFFFF" w:themeColor="background1"/>
              </w:rPr>
            </w:pPr>
            <w:r w:rsidRPr="009A2F34">
              <w:rPr>
                <w:rFonts w:ascii="Arial" w:hAnsi="Arial" w:cs="Arial"/>
                <w:color w:val="FFFFFF" w:themeColor="background1"/>
              </w:rPr>
              <w:t>RFP Page</w:t>
            </w:r>
          </w:p>
        </w:tc>
        <w:tc>
          <w:tcPr>
            <w:tcW w:w="3420" w:type="dxa"/>
            <w:tcBorders>
              <w:bottom w:val="single" w:sz="4" w:space="0" w:color="FFFFFF"/>
            </w:tcBorders>
            <w:shd w:val="clear" w:color="auto" w:fill="44546A" w:themeFill="text2"/>
          </w:tcPr>
          <w:p w:rsidR="00EB5A2A" w:rsidRPr="009A2F34" w:rsidRDefault="00EB5A2A" w:rsidP="0000132A">
            <w:pPr>
              <w:rPr>
                <w:rFonts w:ascii="Arial" w:hAnsi="Arial" w:cs="Arial"/>
                <w:color w:val="FFFFFF" w:themeColor="background1"/>
              </w:rPr>
            </w:pPr>
            <w:r w:rsidRPr="009A2F34">
              <w:rPr>
                <w:rFonts w:ascii="Arial" w:hAnsi="Arial" w:cs="Arial"/>
                <w:color w:val="FFFFFF" w:themeColor="background1"/>
              </w:rPr>
              <w:t>Question/Rationale</w:t>
            </w:r>
          </w:p>
        </w:tc>
        <w:tc>
          <w:tcPr>
            <w:tcW w:w="2430" w:type="dxa"/>
            <w:tcBorders>
              <w:bottom w:val="single" w:sz="4" w:space="0" w:color="FFFFFF"/>
            </w:tcBorders>
            <w:shd w:val="clear" w:color="auto" w:fill="44546A" w:themeFill="text2"/>
          </w:tcPr>
          <w:p w:rsidR="00EB5A2A" w:rsidRPr="009A2F34" w:rsidRDefault="00EB5A2A" w:rsidP="0000132A">
            <w:pPr>
              <w:rPr>
                <w:rFonts w:ascii="Arial" w:hAnsi="Arial" w:cs="Arial"/>
                <w:color w:val="FFFFFF" w:themeColor="background1"/>
              </w:rPr>
            </w:pPr>
            <w:r w:rsidRPr="009A2F34">
              <w:rPr>
                <w:rFonts w:ascii="Arial" w:hAnsi="Arial" w:cs="Arial"/>
                <w:color w:val="FFFFFF" w:themeColor="background1"/>
              </w:rPr>
              <w:t>Department Answer</w:t>
            </w:r>
          </w:p>
        </w:tc>
      </w:tr>
      <w:tr w:rsidR="00EB5A2A" w:rsidRPr="009A2F34" w:rsidTr="001236AA">
        <w:tc>
          <w:tcPr>
            <w:tcW w:w="588" w:type="dxa"/>
            <w:tcBorders>
              <w:top w:val="single" w:sz="4" w:space="0" w:color="FFFFFF"/>
              <w:bottom w:val="single" w:sz="4" w:space="0" w:color="FFFFFF"/>
              <w:right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p>
        </w:tc>
        <w:tc>
          <w:tcPr>
            <w:tcW w:w="342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Can you disclose where ETF is at for volume/spend with the current vendors for the past 4 y</w:t>
            </w:r>
            <w:bookmarkStart w:id="0" w:name="_GoBack"/>
            <w:bookmarkEnd w:id="0"/>
            <w:r w:rsidRPr="009A2F34">
              <w:rPr>
                <w:rFonts w:ascii="Arial" w:hAnsi="Arial" w:cs="Arial"/>
              </w:rPr>
              <w:t>ears? If so, what would that be?</w:t>
            </w:r>
          </w:p>
        </w:tc>
        <w:tc>
          <w:tcPr>
            <w:tcW w:w="2430" w:type="dxa"/>
            <w:tcBorders>
              <w:top w:val="single" w:sz="4" w:space="0" w:color="FFFFFF"/>
              <w:left w:val="single" w:sz="4" w:space="0" w:color="FFFFFF" w:themeColor="background1"/>
              <w:bottom w:val="single" w:sz="4" w:space="0" w:color="FFFFFF"/>
            </w:tcBorders>
            <w:shd w:val="clear" w:color="auto" w:fill="BDD6EE" w:themeFill="accent5" w:themeFillTint="66"/>
          </w:tcPr>
          <w:p w:rsidR="009D47E1" w:rsidRPr="009A2F34" w:rsidRDefault="001979F2" w:rsidP="009D47E1">
            <w:pPr>
              <w:jc w:val="both"/>
              <w:rPr>
                <w:rFonts w:ascii="Arial" w:hAnsi="Arial" w:cs="Arial"/>
              </w:rPr>
            </w:pPr>
            <w:r w:rsidRPr="009A2F34">
              <w:rPr>
                <w:rFonts w:ascii="Arial" w:hAnsi="Arial" w:cs="Arial"/>
              </w:rPr>
              <w:t>Approximately 60 positions have been filled over the course of the current contract</w:t>
            </w:r>
            <w:r w:rsidR="009D0487" w:rsidRPr="009A2F34">
              <w:rPr>
                <w:rFonts w:ascii="Arial" w:hAnsi="Arial" w:cs="Arial"/>
              </w:rPr>
              <w:t xml:space="preserve"> for a cost of </w:t>
            </w:r>
            <w:r w:rsidR="009D47E1" w:rsidRPr="009A2F34">
              <w:rPr>
                <w:rFonts w:ascii="Arial" w:hAnsi="Arial" w:cs="Arial"/>
              </w:rPr>
              <w:t>$</w:t>
            </w:r>
            <w:r w:rsidR="009D47E1" w:rsidRPr="009A2F34">
              <w:rPr>
                <w:rFonts w:ascii="Arial" w:hAnsi="Arial" w:cs="Arial"/>
                <w:color w:val="000000"/>
              </w:rPr>
              <w:t>2,577,708.92.</w:t>
            </w:r>
          </w:p>
          <w:p w:rsidR="00EB5A2A" w:rsidRPr="009A2F34" w:rsidRDefault="00EB5A2A" w:rsidP="0000132A">
            <w:pPr>
              <w:jc w:val="both"/>
              <w:rPr>
                <w:rFonts w:ascii="Arial" w:hAnsi="Arial" w:cs="Arial"/>
              </w:rPr>
            </w:pPr>
          </w:p>
        </w:tc>
      </w:tr>
      <w:tr w:rsidR="00EB5A2A" w:rsidRPr="009A2F34" w:rsidTr="001236AA">
        <w:tc>
          <w:tcPr>
            <w:tcW w:w="588" w:type="dxa"/>
            <w:tcBorders>
              <w:top w:val="single" w:sz="4" w:space="0" w:color="FFFFFF"/>
              <w:bottom w:val="single" w:sz="4" w:space="0" w:color="FFFFFF"/>
              <w:right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p>
        </w:tc>
        <w:tc>
          <w:tcPr>
            <w:tcW w:w="342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What is the projected volume for the upcoming contracted period, starting July 1, 2020?</w:t>
            </w:r>
          </w:p>
        </w:tc>
        <w:tc>
          <w:tcPr>
            <w:tcW w:w="243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1979F2" w:rsidP="0000132A">
            <w:pPr>
              <w:jc w:val="both"/>
              <w:rPr>
                <w:rFonts w:ascii="Arial" w:hAnsi="Arial" w:cs="Arial"/>
              </w:rPr>
            </w:pPr>
            <w:r w:rsidRPr="009A2F34">
              <w:rPr>
                <w:rFonts w:ascii="Arial" w:hAnsi="Arial" w:cs="Arial"/>
              </w:rPr>
              <w:t>ETF expects the volume to remain steady, although ETF cannot guarantee to purchase any number of positions or spend any dollar amount</w:t>
            </w:r>
            <w:r w:rsidR="002450B9" w:rsidRPr="009A2F34">
              <w:rPr>
                <w:rFonts w:ascii="Arial" w:hAnsi="Arial" w:cs="Arial"/>
              </w:rPr>
              <w:t xml:space="preserve">, per </w:t>
            </w:r>
            <w:r w:rsidRPr="009A2F34">
              <w:rPr>
                <w:rFonts w:ascii="Arial" w:hAnsi="Arial" w:cs="Arial"/>
              </w:rPr>
              <w:t>1.12 No Obligation to Contract</w:t>
            </w:r>
          </w:p>
        </w:tc>
      </w:tr>
      <w:tr w:rsidR="00EB5A2A" w:rsidRPr="009A2F34" w:rsidTr="001236AA">
        <w:tc>
          <w:tcPr>
            <w:tcW w:w="588" w:type="dxa"/>
            <w:tcBorders>
              <w:top w:val="single" w:sz="4" w:space="0" w:color="FFFFFF"/>
              <w:bottom w:val="single" w:sz="4" w:space="0" w:color="FFFFFF"/>
              <w:right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Q3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4.19</w:t>
            </w: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21</w:t>
            </w:r>
          </w:p>
        </w:tc>
        <w:tc>
          <w:tcPr>
            <w:tcW w:w="342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Can you provide an example of a candidate error that would require correcting? How many times has this happened in the last 4 years?</w:t>
            </w:r>
          </w:p>
        </w:tc>
        <w:tc>
          <w:tcPr>
            <w:tcW w:w="243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2450B9" w:rsidP="0000132A">
            <w:pPr>
              <w:jc w:val="both"/>
              <w:rPr>
                <w:rFonts w:ascii="Arial" w:hAnsi="Arial" w:cs="Arial"/>
              </w:rPr>
            </w:pPr>
            <w:r w:rsidRPr="009A2F34">
              <w:rPr>
                <w:rFonts w:ascii="Arial" w:hAnsi="Arial" w:cs="Arial"/>
              </w:rPr>
              <w:t>It hasn’t happened. An example of an error would be a calculation mistake that caused a retirement estimate to be incorrect or a member to be denied</w:t>
            </w:r>
            <w:r w:rsidR="001F7F09" w:rsidRPr="009A2F34">
              <w:rPr>
                <w:rFonts w:ascii="Arial" w:hAnsi="Arial" w:cs="Arial"/>
              </w:rPr>
              <w:t>/</w:t>
            </w:r>
            <w:r w:rsidRPr="009A2F34">
              <w:rPr>
                <w:rFonts w:ascii="Arial" w:hAnsi="Arial" w:cs="Arial"/>
              </w:rPr>
              <w:t xml:space="preserve">given benefits in error. </w:t>
            </w:r>
          </w:p>
        </w:tc>
      </w:tr>
      <w:tr w:rsidR="00EB5A2A" w:rsidRPr="009A2F34" w:rsidTr="001236AA">
        <w:tc>
          <w:tcPr>
            <w:tcW w:w="588" w:type="dxa"/>
            <w:tcBorders>
              <w:top w:val="single" w:sz="4" w:space="0" w:color="FFFFFF"/>
              <w:bottom w:val="single" w:sz="4" w:space="0" w:color="FFFFFF"/>
              <w:right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Q4</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Appendix 7</w:t>
            </w: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p>
        </w:tc>
        <w:tc>
          <w:tcPr>
            <w:tcW w:w="342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According to Appendix 7, there are consultants currently in these roles, therefore, would you be looking to move them from one contractor to the other? Or would you look for a completely new candidate?</w:t>
            </w:r>
          </w:p>
        </w:tc>
        <w:tc>
          <w:tcPr>
            <w:tcW w:w="243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AC443E" w:rsidP="0000132A">
            <w:pPr>
              <w:jc w:val="both"/>
              <w:rPr>
                <w:rFonts w:ascii="Arial" w:hAnsi="Arial" w:cs="Arial"/>
              </w:rPr>
            </w:pPr>
            <w:r w:rsidRPr="009A2F34">
              <w:rPr>
                <w:rFonts w:ascii="Arial" w:hAnsi="Arial" w:cs="Arial"/>
              </w:rPr>
              <w:t xml:space="preserve">ETF is looking to maintain continuity, which may occur a variety of ways. ETF may or may not require </w:t>
            </w:r>
            <w:r w:rsidR="00BE2B5D" w:rsidRPr="009A2F34">
              <w:rPr>
                <w:rFonts w:ascii="Arial" w:hAnsi="Arial" w:cs="Arial"/>
              </w:rPr>
              <w:t xml:space="preserve">an awarded </w:t>
            </w:r>
            <w:r w:rsidR="009D0487" w:rsidRPr="009A2F34">
              <w:rPr>
                <w:rFonts w:ascii="Arial" w:hAnsi="Arial" w:cs="Arial"/>
              </w:rPr>
              <w:t>proposer’s</w:t>
            </w:r>
            <w:r w:rsidRPr="009A2F34">
              <w:rPr>
                <w:rFonts w:ascii="Arial" w:hAnsi="Arial" w:cs="Arial"/>
              </w:rPr>
              <w:t xml:space="preserve"> assistance with this. </w:t>
            </w:r>
          </w:p>
        </w:tc>
      </w:tr>
      <w:tr w:rsidR="00EB5A2A" w:rsidRPr="009A2F34" w:rsidTr="001236AA">
        <w:tc>
          <w:tcPr>
            <w:tcW w:w="588" w:type="dxa"/>
            <w:tcBorders>
              <w:top w:val="single" w:sz="4" w:space="0" w:color="FFFFFF"/>
              <w:bottom w:val="single" w:sz="4" w:space="0" w:color="FFFFFF"/>
              <w:right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Q5</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 xml:space="preserve">Appendix 7 </w:t>
            </w: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DD6EE" w:themeFill="accent5" w:themeFillTint="66"/>
          </w:tcPr>
          <w:p w:rsidR="00EB5A2A" w:rsidRPr="009A2F34" w:rsidRDefault="00EB5A2A" w:rsidP="0000132A">
            <w:pPr>
              <w:jc w:val="both"/>
              <w:rPr>
                <w:rFonts w:ascii="Arial" w:hAnsi="Arial" w:cs="Arial"/>
              </w:rPr>
            </w:pPr>
          </w:p>
        </w:tc>
        <w:tc>
          <w:tcPr>
            <w:tcW w:w="342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EB5A2A" w:rsidP="0000132A">
            <w:pPr>
              <w:jc w:val="both"/>
              <w:rPr>
                <w:rFonts w:ascii="Arial" w:hAnsi="Arial" w:cs="Arial"/>
              </w:rPr>
            </w:pPr>
            <w:r w:rsidRPr="009A2F34">
              <w:rPr>
                <w:rFonts w:ascii="Arial" w:hAnsi="Arial" w:cs="Arial"/>
              </w:rPr>
              <w:t xml:space="preserve">According to Appendix 7, there are numerous positions already filled, therefore, will the number of positions available be the same or are you looking to add more consultants depending on </w:t>
            </w:r>
            <w:r w:rsidRPr="009A2F34">
              <w:rPr>
                <w:rFonts w:ascii="Arial" w:hAnsi="Arial" w:cs="Arial"/>
              </w:rPr>
              <w:lastRenderedPageBreak/>
              <w:t xml:space="preserve">the specific job and current needs? </w:t>
            </w:r>
          </w:p>
        </w:tc>
        <w:tc>
          <w:tcPr>
            <w:tcW w:w="2430" w:type="dxa"/>
            <w:tcBorders>
              <w:top w:val="single" w:sz="4" w:space="0" w:color="FFFFFF"/>
              <w:left w:val="single" w:sz="4" w:space="0" w:color="FFFFFF" w:themeColor="background1"/>
              <w:bottom w:val="single" w:sz="4" w:space="0" w:color="FFFFFF"/>
            </w:tcBorders>
            <w:shd w:val="clear" w:color="auto" w:fill="BDD6EE" w:themeFill="accent5" w:themeFillTint="66"/>
          </w:tcPr>
          <w:p w:rsidR="00EB5A2A" w:rsidRPr="009A2F34" w:rsidRDefault="0091220F" w:rsidP="0000132A">
            <w:pPr>
              <w:jc w:val="both"/>
              <w:rPr>
                <w:rFonts w:ascii="Arial" w:hAnsi="Arial" w:cs="Arial"/>
              </w:rPr>
            </w:pPr>
            <w:r w:rsidRPr="009A2F34">
              <w:rPr>
                <w:rFonts w:ascii="Arial" w:hAnsi="Arial" w:cs="Arial"/>
              </w:rPr>
              <w:lastRenderedPageBreak/>
              <w:t xml:space="preserve">There may be more positions or less as the contract progresses, depending on the </w:t>
            </w:r>
            <w:r w:rsidRPr="009A2F34">
              <w:rPr>
                <w:rFonts w:ascii="Arial" w:hAnsi="Arial" w:cs="Arial"/>
              </w:rPr>
              <w:lastRenderedPageBreak/>
              <w:t xml:space="preserve">agency’s needs and resources. </w:t>
            </w:r>
          </w:p>
        </w:tc>
      </w:tr>
    </w:tbl>
    <w:p w:rsidR="00083AE0" w:rsidRPr="009A2F34" w:rsidRDefault="00083AE0"/>
    <w:tbl>
      <w:tblPr>
        <w:tblW w:w="9360" w:type="dxa"/>
        <w:shd w:val="clear" w:color="auto" w:fill="BDD6EE" w:themeFill="accent5" w:themeFillTint="66"/>
        <w:tblLook w:val="04A0" w:firstRow="1" w:lastRow="0" w:firstColumn="1" w:lastColumn="0" w:noHBand="0" w:noVBand="1"/>
      </w:tblPr>
      <w:tblGrid>
        <w:gridCol w:w="632"/>
        <w:gridCol w:w="1655"/>
        <w:gridCol w:w="1254"/>
        <w:gridCol w:w="3403"/>
        <w:gridCol w:w="2416"/>
      </w:tblGrid>
      <w:tr w:rsidR="0045004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50040" w:rsidRPr="009A2F34" w:rsidRDefault="00450040" w:rsidP="0000132A">
            <w:pPr>
              <w:jc w:val="both"/>
              <w:rPr>
                <w:rFonts w:ascii="Arial" w:hAnsi="Arial" w:cs="Arial"/>
              </w:rPr>
            </w:pPr>
            <w:r w:rsidRPr="009A2F34">
              <w:rPr>
                <w:rFonts w:ascii="Arial" w:hAnsi="Arial" w:cs="Arial"/>
              </w:rPr>
              <w:t>Q</w:t>
            </w:r>
            <w:r w:rsidR="00DB1A5A" w:rsidRPr="009A2F34">
              <w:rPr>
                <w:rFonts w:ascii="Arial" w:hAnsi="Arial" w:cs="Arial"/>
              </w:rPr>
              <w:t>6</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50040" w:rsidRPr="009A2F34" w:rsidRDefault="00450040" w:rsidP="0000132A">
            <w:pPr>
              <w:jc w:val="both"/>
              <w:rPr>
                <w:rFonts w:ascii="Arial" w:hAnsi="Arial" w:cs="Arial"/>
              </w:rPr>
            </w:pP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50040" w:rsidRPr="009A2F34" w:rsidRDefault="00450040" w:rsidP="0000132A">
            <w:pPr>
              <w:jc w:val="both"/>
              <w:rPr>
                <w:rFonts w:ascii="Arial" w:hAnsi="Arial" w:cs="Arial"/>
              </w:rPr>
            </w:pP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rPr>
                <w:rFonts w:ascii="Arial" w:hAnsi="Arial" w:cs="Arial"/>
              </w:rPr>
            </w:pPr>
            <w:r w:rsidRPr="009A2F34">
              <w:rPr>
                <w:rFonts w:ascii="Arial" w:hAnsi="Arial" w:cs="Arial"/>
              </w:rPr>
              <w:t xml:space="preserve">Can you please provide copies of the submitted invoices from the three vendors chosen from the beginning of the contracts to the most recent?  </w:t>
            </w:r>
          </w:p>
          <w:p w:rsidR="00B21510" w:rsidRPr="009A2F34" w:rsidRDefault="00B21510" w:rsidP="00B21510">
            <w:pPr>
              <w:rPr>
                <w:rFonts w:ascii="Arial" w:hAnsi="Arial" w:cs="Arial"/>
              </w:rPr>
            </w:pPr>
            <w:r w:rsidRPr="009A2F34">
              <w:rPr>
                <w:rFonts w:ascii="Arial" w:hAnsi="Arial" w:cs="Arial"/>
              </w:rPr>
              <w:t>22</w:t>
            </w:r>
            <w:r w:rsidRPr="009A2F34">
              <w:rPr>
                <w:rFonts w:ascii="Arial" w:hAnsi="Arial" w:cs="Arial"/>
                <w:vertAlign w:val="superscript"/>
              </w:rPr>
              <w:t>nd</w:t>
            </w:r>
            <w:r w:rsidRPr="009A2F34">
              <w:rPr>
                <w:rFonts w:ascii="Arial" w:hAnsi="Arial" w:cs="Arial"/>
              </w:rPr>
              <w:t xml:space="preserve"> Century Technologies</w:t>
            </w:r>
          </w:p>
          <w:p w:rsidR="00B21510" w:rsidRPr="009A2F34" w:rsidRDefault="00B21510" w:rsidP="00B21510">
            <w:pPr>
              <w:rPr>
                <w:rFonts w:ascii="Arial" w:hAnsi="Arial" w:cs="Arial"/>
              </w:rPr>
            </w:pPr>
            <w:r w:rsidRPr="009A2F34">
              <w:rPr>
                <w:rFonts w:ascii="Arial" w:hAnsi="Arial" w:cs="Arial"/>
              </w:rPr>
              <w:t>Premier Staffing Source, Inc</w:t>
            </w:r>
          </w:p>
          <w:p w:rsidR="00B21510" w:rsidRPr="009A2F34" w:rsidRDefault="00B21510" w:rsidP="00B21510">
            <w:pPr>
              <w:rPr>
                <w:rFonts w:ascii="Arial" w:hAnsi="Arial" w:cs="Arial"/>
              </w:rPr>
            </w:pPr>
            <w:proofErr w:type="spellStart"/>
            <w:r w:rsidRPr="009A2F34">
              <w:rPr>
                <w:rFonts w:ascii="Arial" w:hAnsi="Arial" w:cs="Arial"/>
              </w:rPr>
              <w:t>TeamSoft</w:t>
            </w:r>
            <w:proofErr w:type="spellEnd"/>
            <w:r w:rsidRPr="009A2F34">
              <w:rPr>
                <w:rFonts w:ascii="Arial" w:hAnsi="Arial" w:cs="Arial"/>
              </w:rPr>
              <w:t xml:space="preserve"> Inc</w:t>
            </w:r>
          </w:p>
          <w:p w:rsidR="00450040" w:rsidRPr="009A2F34" w:rsidRDefault="00450040" w:rsidP="0000132A">
            <w:pPr>
              <w:jc w:val="both"/>
              <w:rPr>
                <w:rFonts w:ascii="Arial" w:hAnsi="Arial" w:cs="Arial"/>
              </w:rPr>
            </w:pPr>
          </w:p>
        </w:tc>
        <w:tc>
          <w:tcPr>
            <w:tcW w:w="2416" w:type="dxa"/>
            <w:tcBorders>
              <w:left w:val="single" w:sz="4" w:space="0" w:color="FFFFFF"/>
              <w:bottom w:val="single" w:sz="4" w:space="0" w:color="FFFFFF"/>
            </w:tcBorders>
            <w:shd w:val="clear" w:color="auto" w:fill="BDD6EE" w:themeFill="accent5" w:themeFillTint="66"/>
          </w:tcPr>
          <w:p w:rsidR="00450040" w:rsidRPr="009A2F34" w:rsidRDefault="009D0487" w:rsidP="0000132A">
            <w:pPr>
              <w:jc w:val="both"/>
              <w:rPr>
                <w:rFonts w:ascii="Arial" w:hAnsi="Arial" w:cs="Arial"/>
              </w:rPr>
            </w:pPr>
            <w:r w:rsidRPr="009A2F34">
              <w:rPr>
                <w:rFonts w:ascii="Arial" w:hAnsi="Arial" w:cs="Arial"/>
              </w:rPr>
              <w:t xml:space="preserve">Examples will be posted on ETF’s public website at the same time these answers are.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Q</w:t>
            </w:r>
            <w:r w:rsidR="00EE59E2" w:rsidRPr="009A2F34">
              <w:rPr>
                <w:rFonts w:ascii="Arial" w:hAnsi="Arial" w:cs="Arial"/>
              </w:rPr>
              <w:t>7</w:t>
            </w:r>
            <w:r w:rsidRPr="009A2F34">
              <w:rPr>
                <w:rFonts w:ascii="Arial" w:hAnsi="Arial" w:cs="Arial"/>
              </w:rPr>
              <w:t xml:space="preserve"> </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Appendix 7</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Item 7.1, 7.2, 7.3, 7.4</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 xml:space="preserve">Are the amounts listed as current contractor pay ranges considered actual pay rate ranges, or are they bill rate ranges? </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1B2869" w:rsidP="00B21510">
            <w:pPr>
              <w:jc w:val="both"/>
              <w:rPr>
                <w:rFonts w:ascii="Arial" w:hAnsi="Arial" w:cs="Arial"/>
              </w:rPr>
            </w:pPr>
            <w:r w:rsidRPr="009A2F34">
              <w:rPr>
                <w:rFonts w:ascii="Arial" w:hAnsi="Arial" w:cs="Arial"/>
              </w:rPr>
              <w:t xml:space="preserve">They are the range of what ETF pays the staffing company for the Positions in </w:t>
            </w:r>
            <w:r w:rsidR="009D0487" w:rsidRPr="009A2F34">
              <w:rPr>
                <w:rFonts w:ascii="Arial" w:hAnsi="Arial" w:cs="Arial"/>
              </w:rPr>
              <w:t>the</w:t>
            </w:r>
            <w:r w:rsidRPr="009A2F34">
              <w:rPr>
                <w:rFonts w:ascii="Arial" w:hAnsi="Arial" w:cs="Arial"/>
              </w:rPr>
              <w:t xml:space="preserve"> Job Category.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Q</w:t>
            </w:r>
            <w:r w:rsidR="00EE59E2" w:rsidRPr="009A2F34">
              <w:rPr>
                <w:rFonts w:ascii="Arial" w:hAnsi="Arial" w:cs="Arial"/>
              </w:rPr>
              <w:t>8</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Appendix 7</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Item 7.5</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It is understood that the "other positions as needed" are unknown and not necessarily anticipated, however, can you provide examples for the last contract period of the types of jobs that fell into this category? This will help to determine pricing levels.</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807106" w:rsidP="00B21510">
            <w:pPr>
              <w:jc w:val="both"/>
              <w:rPr>
                <w:rFonts w:ascii="Arial" w:hAnsi="Arial" w:cs="Arial"/>
              </w:rPr>
            </w:pPr>
            <w:r w:rsidRPr="009A2F34">
              <w:rPr>
                <w:rFonts w:ascii="Arial" w:hAnsi="Arial" w:cs="Arial"/>
              </w:rPr>
              <w:t xml:space="preserve">ETF generally uses Other Positions as Needed where ETF’s target bill rate on a specific Position Request exceeds the Maximum Bill Rate for all other Job Categories besides Other Positions as Needed. Note: The amount on the Appendix 8 – Cost Proposal for Other Positions as Needed won’t figure into the cost score, so high hourly rates </w:t>
            </w:r>
            <w:r w:rsidR="001F7F09" w:rsidRPr="009A2F34">
              <w:rPr>
                <w:rFonts w:ascii="Arial" w:hAnsi="Arial" w:cs="Arial"/>
              </w:rPr>
              <w:t xml:space="preserve">for Other Positions as Needed </w:t>
            </w:r>
            <w:r w:rsidRPr="009A2F34">
              <w:rPr>
                <w:rFonts w:ascii="Arial" w:hAnsi="Arial" w:cs="Arial"/>
              </w:rPr>
              <w:t xml:space="preserve">will </w:t>
            </w:r>
            <w:r w:rsidR="0000132A" w:rsidRPr="009A2F34">
              <w:rPr>
                <w:rFonts w:ascii="Arial" w:hAnsi="Arial" w:cs="Arial"/>
              </w:rPr>
              <w:t xml:space="preserve">NOT </w:t>
            </w:r>
            <w:r w:rsidR="007C53BF" w:rsidRPr="009A2F34">
              <w:rPr>
                <w:rFonts w:ascii="Arial" w:hAnsi="Arial" w:cs="Arial"/>
              </w:rPr>
              <w:t>hurt your overall score</w:t>
            </w:r>
            <w:r w:rsidR="002129B3" w:rsidRPr="009A2F34">
              <w:rPr>
                <w:rFonts w:ascii="Arial" w:hAnsi="Arial" w:cs="Arial"/>
              </w:rPr>
              <w:t xml:space="preserve">. </w:t>
            </w:r>
            <w:proofErr w:type="gramStart"/>
            <w:r w:rsidR="002129B3" w:rsidRPr="009A2F34">
              <w:rPr>
                <w:rFonts w:ascii="Arial" w:hAnsi="Arial" w:cs="Arial"/>
              </w:rPr>
              <w:t xml:space="preserve">Rather, </w:t>
            </w:r>
            <w:r w:rsidR="0000132A" w:rsidRPr="009A2F34">
              <w:rPr>
                <w:rFonts w:ascii="Arial" w:hAnsi="Arial" w:cs="Arial"/>
              </w:rPr>
              <w:t xml:space="preserve"> </w:t>
            </w:r>
            <w:r w:rsidR="002129B3" w:rsidRPr="009A2F34">
              <w:rPr>
                <w:rFonts w:ascii="Arial" w:hAnsi="Arial" w:cs="Arial"/>
              </w:rPr>
              <w:t>they</w:t>
            </w:r>
            <w:proofErr w:type="gramEnd"/>
            <w:r w:rsidR="002129B3" w:rsidRPr="009A2F34">
              <w:rPr>
                <w:rFonts w:ascii="Arial" w:hAnsi="Arial" w:cs="Arial"/>
              </w:rPr>
              <w:t xml:space="preserve"> will </w:t>
            </w:r>
            <w:r w:rsidR="0000132A" w:rsidRPr="009A2F34">
              <w:rPr>
                <w:rFonts w:ascii="Arial" w:hAnsi="Arial" w:cs="Arial"/>
              </w:rPr>
              <w:t xml:space="preserve">provide ETF </w:t>
            </w:r>
            <w:r w:rsidR="0000132A" w:rsidRPr="009A2F34">
              <w:rPr>
                <w:rFonts w:ascii="Arial" w:hAnsi="Arial" w:cs="Arial"/>
              </w:rPr>
              <w:lastRenderedPageBreak/>
              <w:t xml:space="preserve">maximum flexibility to structure new positions </w:t>
            </w:r>
            <w:r w:rsidR="007C53BF" w:rsidRPr="009A2F34">
              <w:rPr>
                <w:rFonts w:ascii="Arial" w:hAnsi="Arial" w:cs="Arial"/>
              </w:rPr>
              <w:t>to</w:t>
            </w:r>
            <w:r w:rsidR="0000132A" w:rsidRPr="009A2F34">
              <w:rPr>
                <w:rFonts w:ascii="Arial" w:hAnsi="Arial" w:cs="Arial"/>
              </w:rPr>
              <w:t xml:space="preserve"> meet agency needs.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lastRenderedPageBreak/>
              <w:t>Q</w:t>
            </w:r>
            <w:r w:rsidR="00EE59E2" w:rsidRPr="009A2F34">
              <w:rPr>
                <w:rFonts w:ascii="Arial" w:hAnsi="Arial" w:cs="Arial"/>
              </w:rPr>
              <w:t>9</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Appendix 7</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Item 7.1, 7.2, 7.3, 7.4</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Please provide us with a breakdown of the percentage of positions in each category that were filled at the low, mid, and high end of the contractor pay ranges provided within the last contract period?</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E35A4" w:rsidRPr="009A2F34" w:rsidRDefault="00F264B5" w:rsidP="00B21510">
            <w:pPr>
              <w:jc w:val="both"/>
              <w:rPr>
                <w:rFonts w:ascii="Arial" w:hAnsi="Arial" w:cs="Arial"/>
              </w:rPr>
            </w:pPr>
            <w:r w:rsidRPr="009A2F34">
              <w:rPr>
                <w:rFonts w:ascii="Arial" w:hAnsi="Arial" w:cs="Arial"/>
              </w:rPr>
              <w:t>ETF has</w:t>
            </w:r>
            <w:r w:rsidR="00217A5A" w:rsidRPr="009A2F34">
              <w:rPr>
                <w:rFonts w:ascii="Arial" w:hAnsi="Arial" w:cs="Arial"/>
              </w:rPr>
              <w:t xml:space="preserve"> issued Position Request</w:t>
            </w:r>
            <w:r w:rsidR="00D05E3E" w:rsidRPr="009A2F34">
              <w:rPr>
                <w:rFonts w:ascii="Arial" w:hAnsi="Arial" w:cs="Arial"/>
              </w:rPr>
              <w:t>s</w:t>
            </w:r>
            <w:r w:rsidR="00217A5A" w:rsidRPr="009A2F34">
              <w:rPr>
                <w:rFonts w:ascii="Arial" w:hAnsi="Arial" w:cs="Arial"/>
              </w:rPr>
              <w:t xml:space="preserve"> at the top of every ran</w:t>
            </w:r>
            <w:r w:rsidR="00D05E3E" w:rsidRPr="009A2F34">
              <w:rPr>
                <w:rFonts w:ascii="Arial" w:hAnsi="Arial" w:cs="Arial"/>
              </w:rPr>
              <w:t xml:space="preserve">ge </w:t>
            </w:r>
            <w:proofErr w:type="gramStart"/>
            <w:r w:rsidR="00D05E3E" w:rsidRPr="009A2F34">
              <w:rPr>
                <w:rFonts w:ascii="Arial" w:hAnsi="Arial" w:cs="Arial"/>
              </w:rPr>
              <w:t>listed, and</w:t>
            </w:r>
            <w:proofErr w:type="gramEnd"/>
            <w:r w:rsidR="00D05E3E" w:rsidRPr="009A2F34">
              <w:rPr>
                <w:rFonts w:ascii="Arial" w:hAnsi="Arial" w:cs="Arial"/>
              </w:rPr>
              <w:t xml:space="preserve"> is only calling for one hourly rate per Job Category on the Cost Proposal. Note: T</w:t>
            </w:r>
            <w:r w:rsidR="00217A5A" w:rsidRPr="009A2F34">
              <w:rPr>
                <w:rFonts w:ascii="Arial" w:hAnsi="Arial" w:cs="Arial"/>
              </w:rPr>
              <w:t xml:space="preserve">he Maximum Bill Rate for a Job Category needs to cover the most expensive Position in </w:t>
            </w:r>
            <w:r w:rsidR="00D05E3E" w:rsidRPr="009A2F34">
              <w:rPr>
                <w:rFonts w:ascii="Arial" w:hAnsi="Arial" w:cs="Arial"/>
              </w:rPr>
              <w:t>the</w:t>
            </w:r>
            <w:r w:rsidR="00217A5A" w:rsidRPr="009A2F34">
              <w:rPr>
                <w:rFonts w:ascii="Arial" w:hAnsi="Arial" w:cs="Arial"/>
              </w:rPr>
              <w:t xml:space="preserve"> Job Category</w:t>
            </w:r>
            <w:r w:rsidR="002129B3" w:rsidRPr="009A2F34">
              <w:rPr>
                <w:rFonts w:ascii="Arial" w:hAnsi="Arial" w:cs="Arial"/>
              </w:rPr>
              <w:t xml:space="preserve"> –</w:t>
            </w:r>
            <w:r w:rsidR="00217A5A" w:rsidRPr="009A2F34">
              <w:rPr>
                <w:rFonts w:ascii="Arial" w:hAnsi="Arial" w:cs="Arial"/>
              </w:rPr>
              <w:t xml:space="preserve"> not be an average or a weighted average</w:t>
            </w:r>
            <w:r w:rsidR="00D05E3E" w:rsidRPr="009A2F34">
              <w:rPr>
                <w:rFonts w:ascii="Arial" w:hAnsi="Arial" w:cs="Arial"/>
              </w:rPr>
              <w:t xml:space="preserve"> of all Positions</w:t>
            </w:r>
            <w:r w:rsidR="00217A5A" w:rsidRPr="009A2F34">
              <w:rPr>
                <w:rFonts w:ascii="Arial" w:hAnsi="Arial" w:cs="Arial"/>
              </w:rPr>
              <w:t>.</w:t>
            </w:r>
            <w:r w:rsidR="00D05E3E" w:rsidRPr="009A2F34">
              <w:rPr>
                <w:rFonts w:ascii="Arial" w:hAnsi="Arial" w:cs="Arial"/>
              </w:rPr>
              <w:t xml:space="preserve"> </w:t>
            </w:r>
            <w:r w:rsidR="00217A5A" w:rsidRPr="009A2F34">
              <w:rPr>
                <w:rFonts w:ascii="Arial" w:hAnsi="Arial" w:cs="Arial"/>
              </w:rPr>
              <w:t xml:space="preserve">Staffing service companies </w:t>
            </w:r>
            <w:r w:rsidR="006A55B8" w:rsidRPr="009A2F34">
              <w:rPr>
                <w:rFonts w:ascii="Arial" w:hAnsi="Arial" w:cs="Arial"/>
              </w:rPr>
              <w:t>must</w:t>
            </w:r>
            <w:r w:rsidR="00217A5A" w:rsidRPr="009A2F34">
              <w:rPr>
                <w:rFonts w:ascii="Arial" w:hAnsi="Arial" w:cs="Arial"/>
              </w:rPr>
              <w:t xml:space="preserve"> bid into any given Position Request at an hourly rate at or below their Maximum Bill Rate for the Job Category, as presented on their Cost Proposal. </w:t>
            </w:r>
            <w:r w:rsidRPr="009A2F34">
              <w:rPr>
                <w:rFonts w:ascii="Arial" w:hAnsi="Arial" w:cs="Arial"/>
              </w:rPr>
              <w:t xml:space="preserve">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Q</w:t>
            </w:r>
            <w:r w:rsidR="006978E1" w:rsidRPr="009A2F34">
              <w:rPr>
                <w:rFonts w:ascii="Arial" w:hAnsi="Arial" w:cs="Arial"/>
              </w:rPr>
              <w:t>10</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3.4</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15</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proofErr w:type="gramStart"/>
            <w:r w:rsidRPr="009A2F34">
              <w:rPr>
                <w:rFonts w:ascii="Arial" w:hAnsi="Arial" w:cs="Arial"/>
              </w:rPr>
              <w:t>Is</w:t>
            </w:r>
            <w:proofErr w:type="gramEnd"/>
            <w:r w:rsidRPr="009A2F34">
              <w:rPr>
                <w:rFonts w:ascii="Arial" w:hAnsi="Arial" w:cs="Arial"/>
              </w:rPr>
              <w:t xml:space="preserve"> the evaluation criteria for "Job Categories and Positions" simply based on the number of categories that cost proposals are provided for?</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746382" w:rsidP="00F91921">
            <w:pPr>
              <w:pStyle w:val="LRWLBodyText"/>
              <w:spacing w:before="240"/>
              <w:rPr>
                <w:rFonts w:eastAsia="Arial" w:cs="Arial"/>
                <w:b/>
                <w:u w:val="single"/>
                <w:lang w:bidi="en-US"/>
              </w:rPr>
            </w:pPr>
            <w:r w:rsidRPr="009A2F34">
              <w:rPr>
                <w:rFonts w:cs="Arial"/>
              </w:rPr>
              <w:t>No</w:t>
            </w:r>
            <w:r w:rsidR="007D7706" w:rsidRPr="009A2F34">
              <w:rPr>
                <w:rFonts w:cs="Arial"/>
              </w:rPr>
              <w:t xml:space="preserve">. </w:t>
            </w:r>
            <w:r w:rsidR="00CA5678" w:rsidRPr="009A2F34">
              <w:rPr>
                <w:rFonts w:cs="Arial"/>
              </w:rPr>
              <w:t>See</w:t>
            </w:r>
            <w:r w:rsidR="00CC0601" w:rsidRPr="009A2F34">
              <w:rPr>
                <w:rFonts w:cs="Arial"/>
              </w:rPr>
              <w:t xml:space="preserve"> </w:t>
            </w:r>
            <w:r w:rsidR="00CA5678" w:rsidRPr="009A2F34">
              <w:rPr>
                <w:rFonts w:cs="Arial"/>
              </w:rPr>
              <w:t>Section 7</w:t>
            </w:r>
            <w:r w:rsidR="007B5D59" w:rsidRPr="009A2F34">
              <w:rPr>
                <w:rFonts w:cs="Arial"/>
              </w:rPr>
              <w:t xml:space="preserve"> and Appendix 6. </w:t>
            </w:r>
            <w:r w:rsidR="002129B3" w:rsidRPr="009A2F34">
              <w:rPr>
                <w:rFonts w:cs="Arial"/>
              </w:rPr>
              <w:t>E</w:t>
            </w:r>
            <w:r w:rsidR="007B5D59" w:rsidRPr="009A2F34">
              <w:rPr>
                <w:rFonts w:cs="Arial"/>
              </w:rPr>
              <w:t xml:space="preserve">xpertise </w:t>
            </w:r>
            <w:r w:rsidR="00F91921" w:rsidRPr="009A2F34">
              <w:rPr>
                <w:rFonts w:cs="Arial"/>
              </w:rPr>
              <w:t>and success placing candidates in</w:t>
            </w:r>
            <w:r w:rsidR="007B5D59" w:rsidRPr="009A2F34">
              <w:rPr>
                <w:rFonts w:cs="Arial"/>
              </w:rPr>
              <w:t xml:space="preserve"> a</w:t>
            </w:r>
            <w:r w:rsidR="002129B3" w:rsidRPr="009A2F34">
              <w:rPr>
                <w:rFonts w:cs="Arial"/>
              </w:rPr>
              <w:t xml:space="preserve"> </w:t>
            </w:r>
            <w:proofErr w:type="gramStart"/>
            <w:r w:rsidR="002129B3" w:rsidRPr="009A2F34">
              <w:rPr>
                <w:rFonts w:cs="Arial"/>
              </w:rPr>
              <w:t>particular</w:t>
            </w:r>
            <w:r w:rsidR="007B5D59" w:rsidRPr="009A2F34">
              <w:rPr>
                <w:rFonts w:cs="Arial"/>
              </w:rPr>
              <w:t xml:space="preserve"> Job</w:t>
            </w:r>
            <w:proofErr w:type="gramEnd"/>
            <w:r w:rsidR="007B5D59" w:rsidRPr="009A2F34">
              <w:rPr>
                <w:rFonts w:cs="Arial"/>
              </w:rPr>
              <w:t xml:space="preserve"> Category</w:t>
            </w:r>
            <w:r w:rsidR="00F91921" w:rsidRPr="009A2F34">
              <w:rPr>
                <w:rFonts w:cs="Arial"/>
              </w:rPr>
              <w:t xml:space="preserve"> (proven and demonstrated success placing accountants, for example, or benefits specialists)</w:t>
            </w:r>
            <w:r w:rsidR="007B5D59" w:rsidRPr="009A2F34">
              <w:rPr>
                <w:rFonts w:cs="Arial"/>
              </w:rPr>
              <w:t xml:space="preserve"> and flexibility related to </w:t>
            </w:r>
            <w:r w:rsidR="007B5D59" w:rsidRPr="009A2F34">
              <w:rPr>
                <w:rFonts w:cs="Arial"/>
              </w:rPr>
              <w:lastRenderedPageBreak/>
              <w:t xml:space="preserve">requirements that are not pre-defined for each Job Category will also be scored.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lastRenderedPageBreak/>
              <w:t>Q</w:t>
            </w:r>
            <w:r w:rsidR="006978E1" w:rsidRPr="009A2F34">
              <w:rPr>
                <w:rFonts w:ascii="Arial" w:hAnsi="Arial" w:cs="Arial"/>
              </w:rPr>
              <w:t>11</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4.12 and Appendix 9</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20 and 7.0</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 xml:space="preserve">Is the background check performed by ETF or by the staffing company? What types of searches are conducted? What is the pass/fail criteria? Appendix 9 seems to indicate that the staffing firm conducts the background check, while section 4.12 indicates that ETF conducts the check. Please clarify. </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6978E1" w:rsidRPr="009A2F34" w:rsidRDefault="00F26D88" w:rsidP="00B21510">
            <w:pPr>
              <w:jc w:val="both"/>
              <w:rPr>
                <w:rFonts w:ascii="Arial" w:hAnsi="Arial" w:cs="Arial"/>
              </w:rPr>
            </w:pPr>
            <w:r w:rsidRPr="009A2F34">
              <w:rPr>
                <w:rFonts w:ascii="Arial" w:hAnsi="Arial" w:cs="Arial"/>
              </w:rPr>
              <w:t>ETF will perform background check</w:t>
            </w:r>
            <w:r w:rsidR="00632065" w:rsidRPr="009A2F34">
              <w:rPr>
                <w:rFonts w:ascii="Arial" w:hAnsi="Arial" w:cs="Arial"/>
              </w:rPr>
              <w:t>s</w:t>
            </w:r>
            <w:r w:rsidRPr="009A2F34">
              <w:rPr>
                <w:rFonts w:ascii="Arial" w:hAnsi="Arial" w:cs="Arial"/>
              </w:rPr>
              <w:t xml:space="preserve"> per 4.12. </w:t>
            </w:r>
          </w:p>
          <w:p w:rsidR="00B21510" w:rsidRPr="009A2F34" w:rsidRDefault="00EE59E2" w:rsidP="00B21510">
            <w:pPr>
              <w:jc w:val="both"/>
              <w:rPr>
                <w:rFonts w:ascii="Arial" w:hAnsi="Arial" w:cs="Arial"/>
              </w:rPr>
            </w:pPr>
            <w:r w:rsidRPr="009A2F34">
              <w:rPr>
                <w:rFonts w:ascii="Arial" w:hAnsi="Arial" w:cs="Arial"/>
              </w:rPr>
              <w:t>In addition, t</w:t>
            </w:r>
            <w:r w:rsidR="00F26D88" w:rsidRPr="009A2F34">
              <w:rPr>
                <w:rFonts w:ascii="Arial" w:hAnsi="Arial" w:cs="Arial"/>
              </w:rPr>
              <w:t>he staffing</w:t>
            </w:r>
            <w:r w:rsidR="00632065" w:rsidRPr="009A2F34">
              <w:rPr>
                <w:rFonts w:ascii="Arial" w:hAnsi="Arial" w:cs="Arial"/>
              </w:rPr>
              <w:t xml:space="preserve"> company</w:t>
            </w:r>
            <w:r w:rsidR="00F26D88" w:rsidRPr="009A2F34">
              <w:rPr>
                <w:rFonts w:ascii="Arial" w:hAnsi="Arial" w:cs="Arial"/>
              </w:rPr>
              <w:t xml:space="preserve"> will be expected to perform</w:t>
            </w:r>
            <w:r w:rsidR="00632065" w:rsidRPr="009A2F34">
              <w:rPr>
                <w:rFonts w:ascii="Arial" w:hAnsi="Arial" w:cs="Arial"/>
              </w:rPr>
              <w:t xml:space="preserve"> background checks</w:t>
            </w:r>
            <w:r w:rsidR="006E610D" w:rsidRPr="009A2F34">
              <w:rPr>
                <w:rFonts w:ascii="Arial" w:hAnsi="Arial" w:cs="Arial"/>
              </w:rPr>
              <w:t>, if requested</w:t>
            </w:r>
            <w:r w:rsidRPr="009A2F34">
              <w:rPr>
                <w:rFonts w:ascii="Arial" w:hAnsi="Arial" w:cs="Arial"/>
              </w:rPr>
              <w:t xml:space="preserve"> on the Position Request</w:t>
            </w:r>
            <w:r w:rsidR="006E610D" w:rsidRPr="009A2F34">
              <w:rPr>
                <w:rFonts w:ascii="Arial" w:hAnsi="Arial" w:cs="Arial"/>
              </w:rPr>
              <w:t xml:space="preserve">, </w:t>
            </w:r>
            <w:r w:rsidR="00F26D88" w:rsidRPr="009A2F34">
              <w:rPr>
                <w:rFonts w:ascii="Arial" w:hAnsi="Arial" w:cs="Arial"/>
              </w:rPr>
              <w:t>in</w:t>
            </w:r>
            <w:r w:rsidR="005607CD" w:rsidRPr="009A2F34">
              <w:rPr>
                <w:rFonts w:ascii="Arial" w:hAnsi="Arial" w:cs="Arial"/>
              </w:rPr>
              <w:t xml:space="preserve"> conformance to</w:t>
            </w:r>
            <w:r w:rsidR="00F26D88" w:rsidRPr="009A2F34">
              <w:rPr>
                <w:rFonts w:ascii="Arial" w:hAnsi="Arial" w:cs="Arial"/>
              </w:rPr>
              <w:t xml:space="preserve"> Appendix</w:t>
            </w:r>
            <w:r w:rsidR="005607CD" w:rsidRPr="009A2F34">
              <w:rPr>
                <w:rFonts w:ascii="Arial" w:hAnsi="Arial" w:cs="Arial"/>
              </w:rPr>
              <w:t xml:space="preserve"> 9 </w:t>
            </w:r>
            <w:proofErr w:type="gramStart"/>
            <w:r w:rsidR="005607CD" w:rsidRPr="009A2F34">
              <w:rPr>
                <w:rFonts w:ascii="Arial" w:hAnsi="Arial" w:cs="Arial"/>
              </w:rPr>
              <w:t xml:space="preserve">- </w:t>
            </w:r>
            <w:r w:rsidR="00F26D88" w:rsidRPr="009A2F34">
              <w:rPr>
                <w:rFonts w:ascii="Arial" w:hAnsi="Arial" w:cs="Arial"/>
              </w:rPr>
              <w:t xml:space="preserve"> 7.0</w:t>
            </w:r>
            <w:proofErr w:type="gramEnd"/>
            <w:r w:rsidR="005607CD" w:rsidRPr="009A2F34">
              <w:rPr>
                <w:rFonts w:ascii="Arial" w:hAnsi="Arial" w:cs="Arial"/>
              </w:rPr>
              <w:t xml:space="preserve"> Criminal Background Verification.</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Q</w:t>
            </w:r>
            <w:r w:rsidR="006978E1" w:rsidRPr="009A2F34">
              <w:rPr>
                <w:rFonts w:ascii="Arial" w:hAnsi="Arial" w:cs="Arial"/>
              </w:rPr>
              <w:t>12</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4.19</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21</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Please provide data of how often a staffing company needed to provide a candidate free-of-charge to correct any prior candidates' errors, and the duration of those events within the last contract period. Please provide examples of the types of errors that warranted such action.</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6978E1" w:rsidP="00B21510">
            <w:pPr>
              <w:jc w:val="both"/>
              <w:rPr>
                <w:rFonts w:ascii="Arial" w:hAnsi="Arial" w:cs="Arial"/>
              </w:rPr>
            </w:pPr>
            <w:r w:rsidRPr="009A2F34">
              <w:rPr>
                <w:rFonts w:ascii="Arial" w:hAnsi="Arial" w:cs="Arial"/>
              </w:rPr>
              <w:t>See Q3 and Department Answer</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Q</w:t>
            </w:r>
            <w:r w:rsidR="00DD0D17" w:rsidRPr="009A2F34">
              <w:rPr>
                <w:rFonts w:ascii="Arial" w:hAnsi="Arial" w:cs="Arial"/>
              </w:rPr>
              <w:t>13</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4.19</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21</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 xml:space="preserve">Regarding the requirement to provide a candidate free-of-charge to correct any prior candidates' errors, we assume that the contractors are actively supervised, and their work is reviewed regularly while on the job. Please confirm this is accurate. </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DC2CA5" w:rsidP="00B21510">
            <w:pPr>
              <w:jc w:val="both"/>
              <w:rPr>
                <w:rFonts w:ascii="Arial" w:hAnsi="Arial" w:cs="Arial"/>
              </w:rPr>
            </w:pPr>
            <w:r w:rsidRPr="009A2F34">
              <w:rPr>
                <w:rFonts w:ascii="Arial" w:hAnsi="Arial" w:cs="Arial"/>
              </w:rPr>
              <w:t xml:space="preserve">Workers are </w:t>
            </w:r>
            <w:r w:rsidR="006D7F87" w:rsidRPr="009A2F34">
              <w:rPr>
                <w:rFonts w:ascii="Arial" w:hAnsi="Arial" w:cs="Arial"/>
              </w:rPr>
              <w:t>assigned a manager at ETF</w:t>
            </w:r>
            <w:r w:rsidR="0018071D" w:rsidRPr="009A2F34">
              <w:rPr>
                <w:rFonts w:ascii="Arial" w:hAnsi="Arial" w:cs="Arial"/>
              </w:rPr>
              <w:t>. Staffing companies are expected to conduct reviews of their worker’s work</w:t>
            </w:r>
            <w:r w:rsidR="006925BB" w:rsidRPr="009A2F34">
              <w:rPr>
                <w:rFonts w:ascii="Arial" w:hAnsi="Arial" w:cs="Arial"/>
              </w:rPr>
              <w:t>, per Appendix 5,</w:t>
            </w:r>
            <w:r w:rsidR="0018071D" w:rsidRPr="009A2F34">
              <w:rPr>
                <w:rFonts w:ascii="Arial" w:hAnsi="Arial" w:cs="Arial"/>
              </w:rPr>
              <w:t xml:space="preserve"> and consult the manager on those reviews.</w:t>
            </w:r>
            <w:r w:rsidR="006D7F87" w:rsidRPr="009A2F34">
              <w:rPr>
                <w:rFonts w:ascii="Arial" w:hAnsi="Arial" w:cs="Arial"/>
              </w:rPr>
              <w:t xml:space="preserve"> </w:t>
            </w:r>
            <w:r w:rsidRPr="009A2F34">
              <w:rPr>
                <w:rFonts w:ascii="Arial" w:hAnsi="Arial" w:cs="Arial"/>
              </w:rPr>
              <w:t xml:space="preserve">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bookmarkStart w:id="1" w:name="_Hlk38989624"/>
            <w:r w:rsidRPr="009A2F34">
              <w:rPr>
                <w:rFonts w:ascii="Arial" w:hAnsi="Arial" w:cs="Arial"/>
              </w:rPr>
              <w:t>Q</w:t>
            </w:r>
            <w:r w:rsidR="006925BB" w:rsidRPr="009A2F34">
              <w:rPr>
                <w:rFonts w:ascii="Arial" w:hAnsi="Arial" w:cs="Arial"/>
              </w:rPr>
              <w:t>14</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4.21</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21</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 xml:space="preserve">Please provide data of how much over-time was performed during the last contract period. It is important to understand volume, </w:t>
            </w:r>
            <w:r w:rsidRPr="009A2F34">
              <w:rPr>
                <w:rFonts w:ascii="Arial" w:hAnsi="Arial" w:cs="Arial"/>
              </w:rPr>
              <w:lastRenderedPageBreak/>
              <w:t xml:space="preserve">considering that all hours, including over-time hours shall be billed at one rate that is at or below the Maximum Bill Rate. </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740723" w:rsidRPr="009A2F34" w:rsidRDefault="00740723" w:rsidP="00740723">
            <w:pPr>
              <w:spacing w:line="254" w:lineRule="auto"/>
              <w:rPr>
                <w:rFonts w:ascii="Arial" w:hAnsi="Arial" w:cs="Arial"/>
              </w:rPr>
            </w:pPr>
            <w:r w:rsidRPr="009A2F34">
              <w:rPr>
                <w:rFonts w:ascii="Arial" w:hAnsi="Arial" w:cs="Arial"/>
              </w:rPr>
              <w:lastRenderedPageBreak/>
              <w:t xml:space="preserve">In general, workers are on a 40-hour per week schedule, or a schedule that </w:t>
            </w:r>
            <w:r w:rsidRPr="009A2F34">
              <w:rPr>
                <w:rFonts w:ascii="Arial" w:hAnsi="Arial" w:cs="Arial"/>
              </w:rPr>
              <w:lastRenderedPageBreak/>
              <w:t xml:space="preserve">averages out to 40 hours per week or less. With their manager’s approval, they may work more some weeks and less in others and take time off as needed. </w:t>
            </w:r>
          </w:p>
          <w:p w:rsidR="00740723" w:rsidRPr="009A2F34" w:rsidRDefault="00740723" w:rsidP="00740723">
            <w:pPr>
              <w:spacing w:line="254" w:lineRule="auto"/>
              <w:rPr>
                <w:rFonts w:ascii="Arial" w:hAnsi="Arial" w:cs="Arial"/>
              </w:rPr>
            </w:pPr>
            <w:r w:rsidRPr="009A2F34">
              <w:rPr>
                <w:rFonts w:ascii="Arial" w:hAnsi="Arial" w:cs="Arial"/>
              </w:rPr>
              <w:t xml:space="preserve">Times when ETF requires a worker to work more than 40 hours per week are few and far-between. </w:t>
            </w:r>
          </w:p>
          <w:p w:rsidR="00740723" w:rsidRPr="009A2F34" w:rsidRDefault="00740723" w:rsidP="00740723">
            <w:pPr>
              <w:spacing w:line="254" w:lineRule="auto"/>
              <w:rPr>
                <w:rFonts w:ascii="Arial" w:hAnsi="Arial" w:cs="Arial"/>
              </w:rPr>
            </w:pPr>
            <w:r w:rsidRPr="009A2F34">
              <w:rPr>
                <w:rFonts w:ascii="Arial" w:hAnsi="Arial" w:cs="Arial"/>
              </w:rPr>
              <w:t>Occasional overtime may be required. ETF will let the staffing company know the start, end, and</w:t>
            </w:r>
            <w:r w:rsidRPr="009A2F34">
              <w:rPr>
                <w:sz w:val="24"/>
                <w:szCs w:val="24"/>
              </w:rPr>
              <w:t xml:space="preserve"> </w:t>
            </w:r>
            <w:r w:rsidRPr="009A2F34">
              <w:rPr>
                <w:rFonts w:ascii="Arial" w:hAnsi="Arial" w:cs="Arial"/>
              </w:rPr>
              <w:t>maximum number of hours. It’s Your Choice season is one example, but it only lasts a few weeks.</w:t>
            </w:r>
          </w:p>
          <w:p w:rsidR="00B21510" w:rsidRPr="009A2F34" w:rsidRDefault="00740723" w:rsidP="00740723">
            <w:pPr>
              <w:spacing w:line="254" w:lineRule="auto"/>
              <w:rPr>
                <w:rFonts w:asciiTheme="minorHAnsi" w:hAnsiTheme="minorHAnsi" w:cstheme="minorBidi"/>
                <w:color w:val="FF0000"/>
                <w:sz w:val="24"/>
                <w:szCs w:val="24"/>
              </w:rPr>
            </w:pPr>
            <w:r w:rsidRPr="009A2F34">
              <w:rPr>
                <w:rFonts w:ascii="Arial" w:hAnsi="Arial" w:cs="Arial"/>
              </w:rPr>
              <w:t xml:space="preserve">A regular schedule over 40 hours/week will be approved by the staffing company. There has been only one position in recent memory where the worker’s actual regular schedule was more than 40 hours per week over a longer period than a few weeks. ETF would make the staffing company aware of such a need on the Position </w:t>
            </w:r>
            <w:r w:rsidRPr="009A2F34">
              <w:rPr>
                <w:rFonts w:ascii="Arial" w:hAnsi="Arial" w:cs="Arial"/>
              </w:rPr>
              <w:lastRenderedPageBreak/>
              <w:t>Request or when it arises.</w:t>
            </w:r>
          </w:p>
        </w:tc>
      </w:tr>
      <w:bookmarkEnd w:id="1"/>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lastRenderedPageBreak/>
              <w:t>Q</w:t>
            </w:r>
            <w:r w:rsidR="00A9652A" w:rsidRPr="009A2F34">
              <w:rPr>
                <w:rFonts w:ascii="Arial" w:hAnsi="Arial" w:cs="Arial"/>
              </w:rPr>
              <w:t>15</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1.1</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3</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Please provide the annual spend under the current staffing contract, ETE0015.</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46585" w:rsidRPr="009A2F34" w:rsidRDefault="00865CFC" w:rsidP="00B46585">
            <w:pPr>
              <w:jc w:val="both"/>
              <w:rPr>
                <w:rFonts w:ascii="Arial" w:hAnsi="Arial" w:cs="Arial"/>
                <w:color w:val="000000"/>
              </w:rPr>
            </w:pPr>
            <w:bookmarkStart w:id="2" w:name="OLE_LINK1"/>
            <w:r w:rsidRPr="009A2F34">
              <w:rPr>
                <w:rFonts w:ascii="Arial" w:hAnsi="Arial" w:cs="Arial"/>
              </w:rPr>
              <w:t>Calendar Year</w:t>
            </w:r>
            <w:r w:rsidR="008A5466" w:rsidRPr="009A2F34">
              <w:rPr>
                <w:rFonts w:ascii="Arial" w:hAnsi="Arial" w:cs="Arial"/>
              </w:rPr>
              <w:t xml:space="preserve"> </w:t>
            </w:r>
            <w:r w:rsidR="009D47E1" w:rsidRPr="009A2F34">
              <w:rPr>
                <w:rFonts w:ascii="Arial" w:hAnsi="Arial" w:cs="Arial"/>
              </w:rPr>
              <w:t xml:space="preserve">2019 was </w:t>
            </w:r>
            <w:r w:rsidR="00B46585" w:rsidRPr="009A2F34">
              <w:rPr>
                <w:rFonts w:ascii="Arial" w:hAnsi="Arial" w:cs="Arial"/>
                <w:color w:val="000000"/>
              </w:rPr>
              <w:t>$1,195,464.57.</w:t>
            </w:r>
          </w:p>
          <w:bookmarkEnd w:id="2"/>
          <w:p w:rsidR="008A5466" w:rsidRPr="009A2F34" w:rsidRDefault="008A5466" w:rsidP="00B46585">
            <w:pPr>
              <w:jc w:val="both"/>
              <w:rPr>
                <w:rFonts w:ascii="Arial" w:hAnsi="Arial" w:cs="Arial"/>
              </w:rPr>
            </w:pPr>
          </w:p>
          <w:p w:rsidR="008A5466" w:rsidRPr="009A2F34" w:rsidRDefault="008A5466" w:rsidP="00B46585">
            <w:pPr>
              <w:jc w:val="both"/>
              <w:rPr>
                <w:rFonts w:ascii="Arial" w:hAnsi="Arial" w:cs="Arial"/>
              </w:rPr>
            </w:pPr>
          </w:p>
          <w:p w:rsidR="008A5466" w:rsidRPr="009A2F34" w:rsidRDefault="008A5466" w:rsidP="00B46585">
            <w:pPr>
              <w:jc w:val="both"/>
              <w:rPr>
                <w:rFonts w:ascii="Arial" w:hAnsi="Arial" w:cs="Arial"/>
              </w:rPr>
            </w:pPr>
          </w:p>
          <w:p w:rsidR="008A5466" w:rsidRPr="009A2F34" w:rsidRDefault="008A5466" w:rsidP="00B46585">
            <w:pPr>
              <w:jc w:val="both"/>
              <w:rPr>
                <w:rFonts w:ascii="Arial" w:hAnsi="Arial" w:cs="Arial"/>
              </w:rPr>
            </w:pPr>
          </w:p>
          <w:p w:rsidR="00B21510" w:rsidRPr="009A2F34" w:rsidRDefault="00B21510" w:rsidP="00B21510">
            <w:pPr>
              <w:jc w:val="both"/>
              <w:rPr>
                <w:rFonts w:ascii="Arial" w:hAnsi="Arial" w:cs="Arial"/>
              </w:rPr>
            </w:pP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Q1</w:t>
            </w:r>
            <w:r w:rsidR="00D21C69" w:rsidRPr="009A2F34">
              <w:rPr>
                <w:rFonts w:ascii="Arial" w:hAnsi="Arial" w:cs="Arial"/>
              </w:rPr>
              <w:t>6</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1.1</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3</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bookmarkStart w:id="3" w:name="_Hlk38836470"/>
            <w:r w:rsidRPr="009A2F34">
              <w:rPr>
                <w:rFonts w:ascii="Arial" w:hAnsi="Arial" w:cs="Arial"/>
              </w:rPr>
              <w:t>Please provide a breakdown of the amount paid in total to each contractor in the current staffing contract, ETE0015.</w:t>
            </w:r>
            <w:bookmarkEnd w:id="3"/>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702A8D" w:rsidRPr="009A2F34" w:rsidRDefault="00515C49" w:rsidP="00B21510">
            <w:pPr>
              <w:jc w:val="both"/>
              <w:rPr>
                <w:rFonts w:ascii="Arial" w:hAnsi="Arial" w:cs="Arial"/>
              </w:rPr>
            </w:pPr>
            <w:r w:rsidRPr="009A2F34">
              <w:rPr>
                <w:rFonts w:ascii="Arial" w:hAnsi="Arial" w:cs="Arial"/>
              </w:rPr>
              <w:t>22</w:t>
            </w:r>
            <w:r w:rsidRPr="009A2F34">
              <w:rPr>
                <w:rFonts w:ascii="Arial" w:hAnsi="Arial" w:cs="Arial"/>
                <w:vertAlign w:val="superscript"/>
              </w:rPr>
              <w:t>nd</w:t>
            </w:r>
            <w:r w:rsidRPr="009A2F34">
              <w:rPr>
                <w:rFonts w:ascii="Arial" w:hAnsi="Arial" w:cs="Arial"/>
              </w:rPr>
              <w:t>:</w:t>
            </w:r>
            <w:r w:rsidR="00702A8D" w:rsidRPr="009A2F34">
              <w:rPr>
                <w:rFonts w:ascii="Arial" w:hAnsi="Arial" w:cs="Arial"/>
              </w:rPr>
              <w:t xml:space="preserve"> </w:t>
            </w:r>
          </w:p>
          <w:p w:rsidR="00B21510" w:rsidRPr="009A2F34" w:rsidRDefault="00702A8D" w:rsidP="00702A8D">
            <w:pPr>
              <w:spacing w:before="0" w:after="0"/>
              <w:jc w:val="both"/>
              <w:rPr>
                <w:rFonts w:ascii="Arial" w:hAnsi="Arial" w:cs="Arial"/>
                <w:color w:val="000000"/>
              </w:rPr>
            </w:pPr>
            <w:r w:rsidRPr="009A2F34">
              <w:rPr>
                <w:rFonts w:ascii="Arial" w:hAnsi="Arial" w:cs="Arial"/>
                <w:color w:val="000000"/>
              </w:rPr>
              <w:t>$270,907.70</w:t>
            </w:r>
          </w:p>
          <w:p w:rsidR="00515C49" w:rsidRPr="009A2F34" w:rsidRDefault="00515C49" w:rsidP="00B21510">
            <w:pPr>
              <w:jc w:val="both"/>
              <w:rPr>
                <w:rFonts w:ascii="Arial" w:hAnsi="Arial" w:cs="Arial"/>
              </w:rPr>
            </w:pPr>
            <w:r w:rsidRPr="009A2F34">
              <w:rPr>
                <w:rFonts w:ascii="Arial" w:hAnsi="Arial" w:cs="Arial"/>
              </w:rPr>
              <w:t>Premier:</w:t>
            </w:r>
          </w:p>
          <w:p w:rsidR="00702A8D" w:rsidRPr="009A2F34" w:rsidRDefault="00702A8D" w:rsidP="00702A8D">
            <w:pPr>
              <w:spacing w:before="0" w:after="0"/>
              <w:jc w:val="both"/>
              <w:rPr>
                <w:rFonts w:ascii="Arial" w:hAnsi="Arial" w:cs="Arial"/>
                <w:color w:val="000000"/>
              </w:rPr>
            </w:pPr>
            <w:r w:rsidRPr="009A2F34">
              <w:rPr>
                <w:rFonts w:ascii="Arial" w:hAnsi="Arial" w:cs="Arial"/>
                <w:color w:val="000000"/>
              </w:rPr>
              <w:t>$803,121.77</w:t>
            </w:r>
          </w:p>
          <w:p w:rsidR="00515C49" w:rsidRPr="009A2F34" w:rsidRDefault="00515C49" w:rsidP="00B21510">
            <w:pPr>
              <w:jc w:val="both"/>
              <w:rPr>
                <w:rFonts w:ascii="Arial" w:hAnsi="Arial" w:cs="Arial"/>
              </w:rPr>
            </w:pPr>
            <w:proofErr w:type="spellStart"/>
            <w:r w:rsidRPr="009A2F34">
              <w:rPr>
                <w:rFonts w:ascii="Arial" w:hAnsi="Arial" w:cs="Arial"/>
              </w:rPr>
              <w:t>TeamSoft</w:t>
            </w:r>
            <w:proofErr w:type="spellEnd"/>
            <w:r w:rsidRPr="009A2F34">
              <w:rPr>
                <w:rFonts w:ascii="Arial" w:hAnsi="Arial" w:cs="Arial"/>
              </w:rPr>
              <w:t>:</w:t>
            </w:r>
          </w:p>
          <w:p w:rsidR="00702A8D" w:rsidRPr="009A2F34" w:rsidRDefault="00702A8D" w:rsidP="00702A8D">
            <w:pPr>
              <w:spacing w:before="0" w:after="0"/>
              <w:jc w:val="both"/>
              <w:rPr>
                <w:rFonts w:ascii="Calibri" w:hAnsi="Calibri" w:cs="Calibri"/>
                <w:b/>
                <w:bCs/>
                <w:color w:val="000000"/>
              </w:rPr>
            </w:pPr>
            <w:r w:rsidRPr="009A2F34">
              <w:rPr>
                <w:rFonts w:ascii="Arial" w:hAnsi="Arial" w:cs="Arial"/>
                <w:color w:val="000000"/>
              </w:rPr>
              <w:t>$1,503,679.45</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Q1</w:t>
            </w:r>
            <w:r w:rsidR="00D21C69" w:rsidRPr="009A2F34">
              <w:rPr>
                <w:rFonts w:ascii="Arial" w:hAnsi="Arial" w:cs="Arial"/>
              </w:rPr>
              <w:t>7</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4.10</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19/20</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Please provide data within last contract period for number of times a candidate quit or was let go prior to 6 months on an engagement that is expected to last 6 or more months, and the staffing company was responsible for providing up to first 3 weeks of service at no cost so that ETF could train the replacement.</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5D3A3E" w:rsidRPr="009A2F34" w:rsidRDefault="004E66CD" w:rsidP="004E66CD">
            <w:pPr>
              <w:pStyle w:val="LRWLBodyTextNumber1"/>
              <w:rPr>
                <w:rFonts w:cs="Arial"/>
                <w:sz w:val="22"/>
              </w:rPr>
            </w:pPr>
            <w:r w:rsidRPr="009A2F34">
              <w:rPr>
                <w:rFonts w:cs="Arial"/>
                <w:sz w:val="22"/>
              </w:rPr>
              <w:t>ETF is now withdrawing this term. The updated term reads:</w:t>
            </w:r>
          </w:p>
          <w:p w:rsidR="005D3A3E" w:rsidRPr="009A2F34" w:rsidRDefault="005D3A3E" w:rsidP="004E66CD">
            <w:pPr>
              <w:pStyle w:val="LRWLBodyTextNumber1"/>
              <w:rPr>
                <w:rFonts w:cs="Arial"/>
                <w:b/>
                <w:bCs/>
                <w:sz w:val="22"/>
              </w:rPr>
            </w:pPr>
            <w:r w:rsidRPr="009A2F34">
              <w:rPr>
                <w:rFonts w:cs="Arial"/>
                <w:b/>
                <w:bCs/>
                <w:sz w:val="22"/>
              </w:rPr>
              <w:t>4.10 Notice of Personnel Leaving</w:t>
            </w:r>
          </w:p>
          <w:p w:rsidR="004E66CD" w:rsidRPr="009A2F34" w:rsidRDefault="004E66CD" w:rsidP="004E66CD">
            <w:pPr>
              <w:pStyle w:val="LRWLBodyTextNumber1"/>
              <w:rPr>
                <w:rFonts w:cs="Arial"/>
                <w:sz w:val="22"/>
              </w:rPr>
            </w:pPr>
            <w:r w:rsidRPr="009A2F34">
              <w:rPr>
                <w:rFonts w:cs="Arial"/>
                <w:sz w:val="22"/>
              </w:rPr>
              <w:t xml:space="preserve">Should any of the staffing company’s workers leave before they complete required duties or the engagement end-date, staffing company will provide a written notice ten (10) working days in advance to ETF. ETF will determine if a replacement candidate is desired from the staffing </w:t>
            </w:r>
            <w:r w:rsidRPr="009A2F34">
              <w:rPr>
                <w:rFonts w:cs="Arial"/>
                <w:sz w:val="22"/>
              </w:rPr>
              <w:lastRenderedPageBreak/>
              <w:t>company or if a new posting will be conducted allowing all staffing companies to participate.</w:t>
            </w:r>
          </w:p>
          <w:p w:rsidR="00B21510" w:rsidRPr="009A2F34" w:rsidRDefault="0039061C" w:rsidP="00B21510">
            <w:pPr>
              <w:jc w:val="both"/>
              <w:rPr>
                <w:rFonts w:ascii="Arial" w:hAnsi="Arial" w:cs="Arial"/>
              </w:rPr>
            </w:pPr>
            <w:r w:rsidRPr="009A2F34">
              <w:rPr>
                <w:rFonts w:ascii="Arial" w:hAnsi="Arial" w:cs="Arial"/>
              </w:rPr>
              <w:t xml:space="preserve">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lastRenderedPageBreak/>
              <w:t>Q1</w:t>
            </w:r>
            <w:r w:rsidR="00D21C69" w:rsidRPr="009A2F34">
              <w:rPr>
                <w:rFonts w:ascii="Arial" w:hAnsi="Arial" w:cs="Arial"/>
              </w:rPr>
              <w:t>8</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Appendix 8</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Lot 2</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B21510">
            <w:pPr>
              <w:jc w:val="both"/>
              <w:rPr>
                <w:rFonts w:ascii="Arial" w:hAnsi="Arial" w:cs="Arial"/>
              </w:rPr>
            </w:pPr>
            <w:r w:rsidRPr="009A2F34">
              <w:rPr>
                <w:rFonts w:ascii="Arial" w:hAnsi="Arial" w:cs="Arial"/>
              </w:rPr>
              <w:t>The Long-Term Assistant Job Category is very broad with many positions serving many different departments. We anticipate the pay range varying greatly between these departments. Can you please break this category down into separate pricing categories and provide estimated quantity needed for the upcoming contract term?</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D21C69" w:rsidP="00B21510">
            <w:pPr>
              <w:jc w:val="both"/>
              <w:rPr>
                <w:rFonts w:ascii="Arial" w:hAnsi="Arial" w:cs="Arial"/>
              </w:rPr>
            </w:pPr>
            <w:r w:rsidRPr="009A2F34">
              <w:rPr>
                <w:rFonts w:ascii="Arial" w:hAnsi="Arial" w:cs="Arial"/>
              </w:rPr>
              <w:t>No.</w:t>
            </w:r>
            <w:r w:rsidR="008F7A4A" w:rsidRPr="009A2F34">
              <w:rPr>
                <w:rFonts w:ascii="Arial" w:hAnsi="Arial" w:cs="Arial"/>
              </w:rPr>
              <w:t xml:space="preserve"> </w:t>
            </w:r>
            <w:r w:rsidR="00903AF0" w:rsidRPr="009A2F34">
              <w:rPr>
                <w:rFonts w:ascii="Arial" w:hAnsi="Arial" w:cs="Arial"/>
              </w:rPr>
              <w:t xml:space="preserve">The Job Categories exist to simplify contract administration and not have more rates to administer than are useful for ETF’s needs and volume. </w:t>
            </w:r>
          </w:p>
        </w:tc>
      </w:tr>
      <w:tr w:rsidR="005D3A3E"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5D3A3E" w:rsidRPr="009A2F34" w:rsidRDefault="005D3A3E" w:rsidP="005D3A3E">
            <w:pPr>
              <w:jc w:val="both"/>
              <w:rPr>
                <w:rFonts w:ascii="Arial" w:hAnsi="Arial" w:cs="Arial"/>
              </w:rPr>
            </w:pPr>
            <w:r w:rsidRPr="009A2F34">
              <w:rPr>
                <w:rFonts w:ascii="Arial" w:hAnsi="Arial" w:cs="Arial"/>
              </w:rPr>
              <w:t>Q19</w:t>
            </w:r>
          </w:p>
        </w:tc>
        <w:tc>
          <w:tcPr>
            <w:tcW w:w="165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5D3A3E" w:rsidRPr="009A2F34" w:rsidRDefault="005D3A3E" w:rsidP="005D3A3E">
            <w:pPr>
              <w:jc w:val="both"/>
              <w:rPr>
                <w:rFonts w:ascii="Arial" w:hAnsi="Arial" w:cs="Arial"/>
              </w:rPr>
            </w:pPr>
            <w:r w:rsidRPr="009A2F34">
              <w:rPr>
                <w:rFonts w:ascii="Arial" w:hAnsi="Arial" w:cs="Arial"/>
              </w:rPr>
              <w:t>4.10</w:t>
            </w:r>
          </w:p>
        </w:tc>
        <w:tc>
          <w:tcPr>
            <w:tcW w:w="1254"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5D3A3E" w:rsidRPr="009A2F34" w:rsidRDefault="005D3A3E" w:rsidP="005D3A3E">
            <w:pPr>
              <w:jc w:val="both"/>
              <w:rPr>
                <w:rFonts w:ascii="Arial" w:hAnsi="Arial" w:cs="Arial"/>
              </w:rPr>
            </w:pPr>
            <w:r w:rsidRPr="009A2F34">
              <w:rPr>
                <w:rFonts w:ascii="Arial" w:hAnsi="Arial" w:cs="Arial"/>
              </w:rPr>
              <w:t>19/20</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5D3A3E" w:rsidRPr="009A2F34" w:rsidRDefault="005D3A3E" w:rsidP="005D3A3E">
            <w:pPr>
              <w:jc w:val="both"/>
              <w:rPr>
                <w:rFonts w:ascii="Arial" w:hAnsi="Arial" w:cs="Arial"/>
              </w:rPr>
            </w:pPr>
            <w:r w:rsidRPr="009A2F34">
              <w:rPr>
                <w:rFonts w:ascii="Arial" w:hAnsi="Arial" w:cs="Arial"/>
              </w:rPr>
              <w:t>Employees leave jobs for a wide range of reasons, most of which are out of control of the staffing firm or ETF. If an employee leaves prior to 6 months on an engagement that is expected to last 6 or more months for reasons that are beyond the control of the staffing firm, why would ETF penalize the staffing firm for this by requiring up to 3 weeks of service at no cost? We certainly understand this clause if this leave was due to the staffing firm reassigning that employee to another client, but for many cases this does not seem reasonable.</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5D3A3E" w:rsidRPr="009A2F34" w:rsidRDefault="005D3A3E" w:rsidP="005D3A3E">
            <w:pPr>
              <w:pStyle w:val="LRWLBodyTextNumber1"/>
              <w:rPr>
                <w:rFonts w:cs="Arial"/>
                <w:sz w:val="22"/>
              </w:rPr>
            </w:pPr>
            <w:r w:rsidRPr="009A2F34">
              <w:rPr>
                <w:rFonts w:cs="Arial"/>
                <w:sz w:val="22"/>
              </w:rPr>
              <w:t>ETF is now withdrawing this term. The updated term reads:</w:t>
            </w:r>
          </w:p>
          <w:p w:rsidR="005D3A3E" w:rsidRPr="009A2F34" w:rsidRDefault="005D3A3E" w:rsidP="005D3A3E">
            <w:pPr>
              <w:pStyle w:val="LRWLBodyTextNumber1"/>
              <w:rPr>
                <w:rFonts w:cs="Arial"/>
                <w:b/>
                <w:bCs/>
                <w:sz w:val="22"/>
              </w:rPr>
            </w:pPr>
            <w:r w:rsidRPr="009A2F34">
              <w:rPr>
                <w:rFonts w:cs="Arial"/>
                <w:b/>
                <w:bCs/>
                <w:sz w:val="22"/>
              </w:rPr>
              <w:t>4.10 Notice of Personnel Leaving</w:t>
            </w:r>
          </w:p>
          <w:p w:rsidR="005D3A3E" w:rsidRPr="009A2F34" w:rsidRDefault="005D3A3E" w:rsidP="005D3A3E">
            <w:pPr>
              <w:pStyle w:val="LRWLBodyTextNumber1"/>
              <w:rPr>
                <w:rFonts w:cs="Arial"/>
                <w:sz w:val="22"/>
              </w:rPr>
            </w:pPr>
            <w:r w:rsidRPr="009A2F34">
              <w:rPr>
                <w:rFonts w:cs="Arial"/>
                <w:sz w:val="22"/>
              </w:rPr>
              <w:t xml:space="preserve">Should any of the staffing company’s workers leave before they complete required duties or the engagement end-date, staffing company will provide a written notice ten (10) working days in advance to ETF. ETF will determine if a replacement candidate is desired from the staffing company or if a new posting will be </w:t>
            </w:r>
            <w:r w:rsidRPr="009A2F34">
              <w:rPr>
                <w:rFonts w:cs="Arial"/>
                <w:sz w:val="22"/>
              </w:rPr>
              <w:lastRenderedPageBreak/>
              <w:t>conducted allowing all staffing companies to participate.</w:t>
            </w:r>
          </w:p>
          <w:p w:rsidR="005D3A3E" w:rsidRPr="009A2F34" w:rsidRDefault="005D3A3E" w:rsidP="005D3A3E">
            <w:pPr>
              <w:jc w:val="both"/>
              <w:rPr>
                <w:rFonts w:ascii="Arial" w:hAnsi="Arial" w:cs="Arial"/>
              </w:rPr>
            </w:pPr>
            <w:r w:rsidRPr="009A2F34">
              <w:rPr>
                <w:rFonts w:ascii="Arial" w:hAnsi="Arial" w:cs="Arial"/>
              </w:rPr>
              <w:t xml:space="preserve"> </w:t>
            </w:r>
          </w:p>
        </w:tc>
      </w:tr>
    </w:tbl>
    <w:p w:rsidR="00B21510" w:rsidRPr="00134BC9" w:rsidRDefault="00B21510" w:rsidP="00134BC9">
      <w:pPr>
        <w:spacing w:before="0" w:after="0"/>
        <w:rPr>
          <w:sz w:val="2"/>
          <w:szCs w:val="2"/>
        </w:rPr>
      </w:pPr>
    </w:p>
    <w:tbl>
      <w:tblPr>
        <w:tblpPr w:leftFromText="180" w:rightFromText="180" w:horzAnchor="margin" w:tblpXSpec="right" w:tblpY="855"/>
        <w:tblW w:w="9360" w:type="dxa"/>
        <w:shd w:val="clear" w:color="auto" w:fill="BDD6EE" w:themeFill="accent5" w:themeFillTint="66"/>
        <w:tblLook w:val="04A0" w:firstRow="1" w:lastRow="0" w:firstColumn="1" w:lastColumn="0" w:noHBand="0" w:noVBand="1"/>
      </w:tblPr>
      <w:tblGrid>
        <w:gridCol w:w="632"/>
        <w:gridCol w:w="1656"/>
        <w:gridCol w:w="1253"/>
        <w:gridCol w:w="3403"/>
        <w:gridCol w:w="2416"/>
      </w:tblGrid>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lastRenderedPageBreak/>
              <w:t>Q</w:t>
            </w:r>
            <w:r w:rsidR="00961A7E" w:rsidRPr="009A2F34">
              <w:rPr>
                <w:rFonts w:ascii="Arial" w:hAnsi="Arial" w:cs="Arial"/>
              </w:rPr>
              <w:t>20</w:t>
            </w:r>
          </w:p>
        </w:tc>
        <w:tc>
          <w:tcPr>
            <w:tcW w:w="165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Section 4</w:t>
            </w:r>
          </w:p>
        </w:tc>
        <w:tc>
          <w:tcPr>
            <w:tcW w:w="125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21-22</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Is ETF open to a cap on the reworks as this is for Staff Augmentation and the ETF Manager is providing oversight of work product and approving supplier resources’ time on a weekly basis in connection with the work product delivered?</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961A7E" w:rsidP="0000132A">
            <w:pPr>
              <w:jc w:val="both"/>
              <w:rPr>
                <w:rFonts w:ascii="Arial" w:hAnsi="Arial" w:cs="Arial"/>
              </w:rPr>
            </w:pPr>
            <w:r w:rsidRPr="009A2F34">
              <w:rPr>
                <w:rFonts w:ascii="Arial" w:hAnsi="Arial" w:cs="Arial"/>
              </w:rPr>
              <w:t>No.</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Q2</w:t>
            </w:r>
            <w:r w:rsidR="00425957" w:rsidRPr="009A2F34">
              <w:rPr>
                <w:rFonts w:ascii="Arial" w:hAnsi="Arial" w:cs="Arial"/>
              </w:rPr>
              <w:t>1</w:t>
            </w:r>
          </w:p>
        </w:tc>
        <w:tc>
          <w:tcPr>
            <w:tcW w:w="165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Appendix-9: Section 7</w:t>
            </w:r>
          </w:p>
        </w:tc>
        <w:tc>
          <w:tcPr>
            <w:tcW w:w="125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3</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Link provided does not work, can ETF provide this document?</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316B53" w:rsidP="0000132A">
            <w:pPr>
              <w:jc w:val="both"/>
              <w:rPr>
                <w:rFonts w:ascii="Arial" w:hAnsi="Arial" w:cs="Arial"/>
              </w:rPr>
            </w:pPr>
            <w:r w:rsidRPr="009A2F34">
              <w:rPr>
                <w:rFonts w:ascii="Arial" w:hAnsi="Arial" w:cs="Arial"/>
              </w:rPr>
              <w:t xml:space="preserve">Yes – at the same time we provide these answers.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bookmarkStart w:id="4" w:name="_Hlk38838388"/>
            <w:r w:rsidRPr="009A2F34">
              <w:rPr>
                <w:rFonts w:ascii="Arial" w:hAnsi="Arial" w:cs="Arial"/>
              </w:rPr>
              <w:t>Q</w:t>
            </w:r>
            <w:r w:rsidR="00425957" w:rsidRPr="009A2F34">
              <w:rPr>
                <w:rFonts w:ascii="Arial" w:hAnsi="Arial" w:cs="Arial"/>
              </w:rPr>
              <w:t>22</w:t>
            </w:r>
          </w:p>
        </w:tc>
        <w:tc>
          <w:tcPr>
            <w:tcW w:w="165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Appendix-9: Section 12</w:t>
            </w:r>
          </w:p>
        </w:tc>
        <w:tc>
          <w:tcPr>
            <w:tcW w:w="125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4</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Would ETF be open to a limitations of liquidated damages clause?</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EB214D" w:rsidRPr="009A2F34" w:rsidRDefault="00EB214D" w:rsidP="00EB214D">
            <w:pPr>
              <w:rPr>
                <w:rFonts w:ascii="Arial" w:hAnsi="Arial" w:cs="Arial"/>
                <w:color w:val="000000"/>
              </w:rPr>
            </w:pPr>
            <w:r w:rsidRPr="009A2F34">
              <w:rPr>
                <w:rFonts w:ascii="Arial" w:hAnsi="Arial" w:cs="Arial"/>
                <w:color w:val="000000"/>
              </w:rPr>
              <w:t>ETF may be willing to negotiate any reasonable changes to liquidated damages. Proposers should include any assumptions or exceptions to terms not listed in Table 4 in their proposal’s Tab 3 for ETF’s consideration. ETF reserves the right to reject any changes.</w:t>
            </w:r>
          </w:p>
          <w:p w:rsidR="00B21510" w:rsidRPr="009A2F34" w:rsidRDefault="00B21510" w:rsidP="0000132A">
            <w:pPr>
              <w:jc w:val="both"/>
              <w:rPr>
                <w:rFonts w:ascii="Arial" w:hAnsi="Arial" w:cs="Arial"/>
              </w:rPr>
            </w:pPr>
          </w:p>
        </w:tc>
      </w:tr>
      <w:bookmarkEnd w:id="4"/>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Q</w:t>
            </w:r>
            <w:r w:rsidR="00425957" w:rsidRPr="009A2F34">
              <w:rPr>
                <w:rFonts w:ascii="Arial" w:hAnsi="Arial" w:cs="Arial"/>
              </w:rPr>
              <w:t>23</w:t>
            </w:r>
          </w:p>
        </w:tc>
        <w:tc>
          <w:tcPr>
            <w:tcW w:w="165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Appendix-9</w:t>
            </w:r>
          </w:p>
        </w:tc>
        <w:tc>
          <w:tcPr>
            <w:tcW w:w="125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NA</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Please confirm that ETF will not expect supplier to store, process, access or transfer any data, PII or PHI on supplier systems.</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4E0F0B" w:rsidP="0000132A">
            <w:pPr>
              <w:jc w:val="both"/>
              <w:rPr>
                <w:rFonts w:ascii="Arial" w:hAnsi="Arial" w:cs="Arial"/>
              </w:rPr>
            </w:pPr>
            <w:r w:rsidRPr="009A2F34">
              <w:rPr>
                <w:rFonts w:ascii="Arial" w:hAnsi="Arial" w:cs="Arial"/>
              </w:rPr>
              <w:t xml:space="preserve">ETF would only expect staffing companies to store data related to a worker’s employment status with that staffing company and not data related to ETF or its members. </w:t>
            </w:r>
          </w:p>
        </w:tc>
      </w:tr>
      <w:tr w:rsidR="00B21510" w:rsidRPr="009A2F34" w:rsidTr="00E17C62">
        <w:tc>
          <w:tcPr>
            <w:tcW w:w="63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C26597" w:rsidP="0000132A">
            <w:pPr>
              <w:jc w:val="both"/>
              <w:rPr>
                <w:rFonts w:ascii="Arial" w:hAnsi="Arial" w:cs="Arial"/>
              </w:rPr>
            </w:pPr>
            <w:bookmarkStart w:id="5" w:name="_Hlk38838867"/>
            <w:r w:rsidRPr="009A2F34">
              <w:rPr>
                <w:rFonts w:ascii="Arial" w:hAnsi="Arial" w:cs="Arial"/>
              </w:rPr>
              <w:t>Q24</w:t>
            </w:r>
          </w:p>
        </w:tc>
        <w:tc>
          <w:tcPr>
            <w:tcW w:w="165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Appendix-9: Section 23</w:t>
            </w:r>
          </w:p>
        </w:tc>
        <w:tc>
          <w:tcPr>
            <w:tcW w:w="125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11</w:t>
            </w:r>
          </w:p>
        </w:tc>
        <w:tc>
          <w:tcPr>
            <w:tcW w:w="3403"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00132A">
            <w:pPr>
              <w:jc w:val="both"/>
              <w:rPr>
                <w:rFonts w:ascii="Arial" w:hAnsi="Arial" w:cs="Arial"/>
              </w:rPr>
            </w:pPr>
            <w:r w:rsidRPr="009A2F34">
              <w:rPr>
                <w:rFonts w:ascii="Arial" w:hAnsi="Arial" w:cs="Arial"/>
              </w:rPr>
              <w:t>Would ETF be open to limitation of the indemnification clause?</w:t>
            </w:r>
          </w:p>
        </w:tc>
        <w:tc>
          <w:tcPr>
            <w:tcW w:w="2416"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E4304B" w:rsidP="0000132A">
            <w:pPr>
              <w:jc w:val="both"/>
              <w:rPr>
                <w:rFonts w:ascii="Arial" w:hAnsi="Arial" w:cs="Arial"/>
              </w:rPr>
            </w:pPr>
            <w:r w:rsidRPr="009A2F34">
              <w:rPr>
                <w:rFonts w:ascii="Arial" w:hAnsi="Arial" w:cs="Arial"/>
                <w:color w:val="000000"/>
              </w:rPr>
              <w:t>No, ETF would not be open to a limitation of the indemnification clause. The indemnification clause</w:t>
            </w:r>
            <w:r w:rsidRPr="009A2F34">
              <w:rPr>
                <w:color w:val="000000"/>
              </w:rPr>
              <w:t xml:space="preserve"> </w:t>
            </w:r>
            <w:r w:rsidRPr="009A2F34">
              <w:rPr>
                <w:rFonts w:ascii="Arial" w:hAnsi="Arial" w:cs="Arial"/>
                <w:color w:val="000000"/>
              </w:rPr>
              <w:t xml:space="preserve">(Section 23.0 of the </w:t>
            </w:r>
            <w:r w:rsidRPr="009A2F34">
              <w:rPr>
                <w:rFonts w:ascii="Arial" w:hAnsi="Arial" w:cs="Arial"/>
                <w:color w:val="000000"/>
              </w:rPr>
              <w:lastRenderedPageBreak/>
              <w:t>Department Terms and Conditions) is included in Table 4 “No Assumptions or Exceptions Department Terms and Conditions.”</w:t>
            </w:r>
          </w:p>
        </w:tc>
      </w:tr>
      <w:bookmarkEnd w:id="5"/>
    </w:tbl>
    <w:p w:rsidR="00B21510" w:rsidRPr="009A2F34" w:rsidRDefault="00B21510"/>
    <w:tbl>
      <w:tblPr>
        <w:tblW w:w="9360" w:type="dxa"/>
        <w:shd w:val="clear" w:color="auto" w:fill="BDD6EE" w:themeFill="accent5" w:themeFillTint="66"/>
        <w:tblLook w:val="04A0" w:firstRow="1" w:lastRow="0" w:firstColumn="1" w:lastColumn="0" w:noHBand="0" w:noVBand="1"/>
      </w:tblPr>
      <w:tblGrid>
        <w:gridCol w:w="632"/>
        <w:gridCol w:w="1036"/>
        <w:gridCol w:w="882"/>
        <w:gridCol w:w="2634"/>
        <w:gridCol w:w="4176"/>
      </w:tblGrid>
      <w:tr w:rsidR="00B21510" w:rsidRPr="009A2F34" w:rsidTr="001236AA">
        <w:tc>
          <w:tcPr>
            <w:tcW w:w="632" w:type="dxa"/>
            <w:tcBorders>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Q</w:t>
            </w:r>
            <w:r w:rsidR="00C26597" w:rsidRPr="009A2F34">
              <w:rPr>
                <w:rFonts w:ascii="Arial" w:hAnsi="Arial" w:cs="Arial"/>
              </w:rPr>
              <w:t>25</w:t>
            </w:r>
          </w:p>
        </w:tc>
        <w:tc>
          <w:tcPr>
            <w:tcW w:w="1649" w:type="dxa"/>
            <w:tcBorders>
              <w:top w:val="single" w:sz="4" w:space="0" w:color="FFFFFF"/>
              <w:left w:val="single" w:sz="4" w:space="0" w:color="FFFFFF"/>
              <w:bottom w:val="single" w:sz="4" w:space="0" w:color="FFFFFF"/>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8</w:t>
            </w:r>
          </w:p>
        </w:tc>
        <w:tc>
          <w:tcPr>
            <w:tcW w:w="1252"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25</w:t>
            </w:r>
          </w:p>
        </w:tc>
        <w:tc>
          <w:tcPr>
            <w:tcW w:w="3404" w:type="dxa"/>
            <w:tcBorders>
              <w:left w:val="single" w:sz="4" w:space="0" w:color="FFFFFF" w:themeColor="background1"/>
              <w:bottom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 xml:space="preserve">What rates did the State pay for each labor category on the last contract? </w:t>
            </w:r>
          </w:p>
        </w:tc>
        <w:tc>
          <w:tcPr>
            <w:tcW w:w="2423" w:type="dxa"/>
            <w:tcBorders>
              <w:left w:val="single" w:sz="4" w:space="0" w:color="FFFFFF" w:themeColor="background1"/>
              <w:bottom w:val="single" w:sz="4" w:space="0" w:color="FFFFFF"/>
            </w:tcBorders>
            <w:shd w:val="clear" w:color="auto" w:fill="BDD6EE" w:themeFill="accent5" w:themeFillTint="66"/>
          </w:tcPr>
          <w:p w:rsidR="00B21510" w:rsidRPr="009A2F34" w:rsidRDefault="00C26597" w:rsidP="001236AA">
            <w:pPr>
              <w:jc w:val="both"/>
              <w:rPr>
                <w:rFonts w:ascii="Arial" w:hAnsi="Arial" w:cs="Arial"/>
              </w:rPr>
            </w:pPr>
            <w:r w:rsidRPr="009A2F34">
              <w:rPr>
                <w:rFonts w:ascii="Arial" w:hAnsi="Arial" w:cs="Arial"/>
              </w:rPr>
              <w:t xml:space="preserve">The rate card for the last contract is publicly viewable </w:t>
            </w:r>
            <w:hyperlink r:id="rId8" w:history="1">
              <w:r w:rsidRPr="009A2F34">
                <w:rPr>
                  <w:rStyle w:val="Hyperlink"/>
                  <w:rFonts w:ascii="Arial" w:hAnsi="Arial" w:cs="Arial"/>
                </w:rPr>
                <w:t>here</w:t>
              </w:r>
            </w:hyperlink>
            <w:r w:rsidRPr="009A2F34">
              <w:rPr>
                <w:rFonts w:ascii="Arial" w:hAnsi="Arial" w:cs="Arial"/>
              </w:rPr>
              <w:t>. The range</w:t>
            </w:r>
            <w:r w:rsidR="009C13B8" w:rsidRPr="009A2F34">
              <w:rPr>
                <w:rFonts w:ascii="Arial" w:hAnsi="Arial" w:cs="Arial"/>
              </w:rPr>
              <w:t xml:space="preserve"> of rates</w:t>
            </w:r>
            <w:r w:rsidRPr="009A2F34">
              <w:rPr>
                <w:rFonts w:ascii="Arial" w:hAnsi="Arial" w:cs="Arial"/>
              </w:rPr>
              <w:t xml:space="preserve"> for each Job Category is provided on Appendix 7. </w:t>
            </w:r>
          </w:p>
        </w:tc>
      </w:tr>
      <w:tr w:rsidR="00B21510" w:rsidRPr="009A2F34" w:rsidTr="001236AA">
        <w:tc>
          <w:tcPr>
            <w:tcW w:w="632" w:type="dxa"/>
            <w:tcBorders>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Q</w:t>
            </w:r>
            <w:r w:rsidR="00E27565" w:rsidRPr="009A2F34">
              <w:rPr>
                <w:rFonts w:ascii="Arial" w:hAnsi="Arial" w:cs="Arial"/>
              </w:rPr>
              <w:t>26</w:t>
            </w:r>
          </w:p>
        </w:tc>
        <w:tc>
          <w:tcPr>
            <w:tcW w:w="1649" w:type="dxa"/>
            <w:tcBorders>
              <w:top w:val="single" w:sz="4" w:space="0" w:color="FFFFFF"/>
              <w:left w:val="single" w:sz="4" w:space="0" w:color="FFFFFF"/>
              <w:bottom w:val="single" w:sz="4" w:space="0" w:color="FFFFFF"/>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8</w:t>
            </w:r>
          </w:p>
        </w:tc>
        <w:tc>
          <w:tcPr>
            <w:tcW w:w="1252"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25</w:t>
            </w:r>
          </w:p>
        </w:tc>
        <w:tc>
          <w:tcPr>
            <w:tcW w:w="3404" w:type="dxa"/>
            <w:tcBorders>
              <w:left w:val="single" w:sz="4" w:space="0" w:color="FFFFFF" w:themeColor="background1"/>
              <w:bottom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 xml:space="preserve">What was the total spend per year on these roles </w:t>
            </w:r>
            <w:proofErr w:type="gramStart"/>
            <w:r w:rsidRPr="009A2F34">
              <w:rPr>
                <w:rFonts w:ascii="Arial" w:hAnsi="Arial" w:cs="Arial"/>
              </w:rPr>
              <w:t>for  each</w:t>
            </w:r>
            <w:proofErr w:type="gramEnd"/>
            <w:r w:rsidRPr="009A2F34">
              <w:rPr>
                <w:rFonts w:ascii="Arial" w:hAnsi="Arial" w:cs="Arial"/>
              </w:rPr>
              <w:t xml:space="preserve"> of the past three years?</w:t>
            </w:r>
          </w:p>
        </w:tc>
        <w:tc>
          <w:tcPr>
            <w:tcW w:w="2423" w:type="dxa"/>
            <w:tcBorders>
              <w:left w:val="single" w:sz="4" w:space="0" w:color="FFFFFF" w:themeColor="background1"/>
              <w:bottom w:val="single" w:sz="4" w:space="0" w:color="FFFFFF"/>
            </w:tcBorders>
            <w:shd w:val="clear" w:color="auto" w:fill="BDD6EE" w:themeFill="accent5" w:themeFillTint="66"/>
          </w:tcPr>
          <w:p w:rsidR="00DC70FA" w:rsidRPr="009A2F34" w:rsidRDefault="00E4674E" w:rsidP="001236AA">
            <w:pPr>
              <w:spacing w:before="0" w:after="0"/>
              <w:jc w:val="both"/>
              <w:rPr>
                <w:rFonts w:ascii="Arial" w:hAnsi="Arial" w:cs="Arial"/>
                <w:color w:val="000000"/>
              </w:rPr>
            </w:pPr>
            <w:r w:rsidRPr="009A2F34">
              <w:rPr>
                <w:rFonts w:ascii="Arial" w:hAnsi="Arial" w:cs="Arial"/>
                <w:color w:val="000000"/>
              </w:rPr>
              <w:t>$</w:t>
            </w:r>
            <w:r w:rsidR="00DC70FA" w:rsidRPr="009A2F34">
              <w:rPr>
                <w:rFonts w:ascii="Arial" w:hAnsi="Arial" w:cs="Arial"/>
                <w:color w:val="000000"/>
              </w:rPr>
              <w:t>2,577,708.92</w:t>
            </w:r>
            <w:r w:rsidRPr="009A2F34">
              <w:rPr>
                <w:rFonts w:ascii="Arial" w:hAnsi="Arial" w:cs="Arial"/>
                <w:color w:val="000000"/>
              </w:rPr>
              <w:t xml:space="preserve"> since the contract started</w:t>
            </w:r>
            <w:r w:rsidR="00B46585" w:rsidRPr="009A2F34">
              <w:rPr>
                <w:rFonts w:ascii="Arial" w:hAnsi="Arial" w:cs="Arial"/>
                <w:color w:val="000000"/>
              </w:rPr>
              <w:t>.</w:t>
            </w:r>
            <w:r w:rsidR="00527D7F" w:rsidRPr="009A2F34">
              <w:rPr>
                <w:rFonts w:ascii="Arial" w:hAnsi="Arial" w:cs="Arial"/>
                <w:color w:val="000000"/>
              </w:rPr>
              <w:t xml:space="preserve"> Here is the spend</w:t>
            </w:r>
            <w:r w:rsidR="009C13B8" w:rsidRPr="009A2F34">
              <w:rPr>
                <w:rFonts w:ascii="Arial" w:hAnsi="Arial" w:cs="Arial"/>
                <w:color w:val="000000"/>
              </w:rPr>
              <w:t xml:space="preserve"> broken out by calendar year</w:t>
            </w:r>
            <w:r w:rsidR="00527D7F" w:rsidRPr="009A2F34">
              <w:rPr>
                <w:rFonts w:ascii="Arial" w:hAnsi="Arial" w:cs="Arial"/>
                <w:color w:val="000000"/>
              </w:rPr>
              <w:t xml:space="preserve">. Note that 2020 is not complete yet. </w:t>
            </w:r>
          </w:p>
          <w:p w:rsidR="00527D7F" w:rsidRPr="009A2F34" w:rsidRDefault="00527D7F" w:rsidP="001236AA">
            <w:pPr>
              <w:spacing w:before="0" w:after="0"/>
              <w:jc w:val="both"/>
              <w:rPr>
                <w:rFonts w:ascii="Arial" w:hAnsi="Arial" w:cs="Arial"/>
                <w:color w:val="000000"/>
              </w:rPr>
            </w:pPr>
          </w:p>
          <w:tbl>
            <w:tblPr>
              <w:tblW w:w="3960" w:type="dxa"/>
              <w:tblLook w:val="04A0" w:firstRow="1" w:lastRow="0" w:firstColumn="1" w:lastColumn="0" w:noHBand="0" w:noVBand="1"/>
            </w:tblPr>
            <w:tblGrid>
              <w:gridCol w:w="1420"/>
              <w:gridCol w:w="2540"/>
            </w:tblGrid>
            <w:tr w:rsidR="00527D7F" w:rsidRPr="00527D7F" w:rsidTr="00527D7F">
              <w:trPr>
                <w:trHeight w:val="290"/>
              </w:trPr>
              <w:tc>
                <w:tcPr>
                  <w:tcW w:w="1420" w:type="dxa"/>
                  <w:tcBorders>
                    <w:top w:val="nil"/>
                    <w:left w:val="nil"/>
                    <w:bottom w:val="single" w:sz="4" w:space="0" w:color="8EA9DB"/>
                    <w:right w:val="nil"/>
                  </w:tcBorders>
                  <w:shd w:val="clear" w:color="D9E1F2" w:fill="D9E1F2"/>
                  <w:noWrap/>
                  <w:vAlign w:val="bottom"/>
                  <w:hideMark/>
                </w:tcPr>
                <w:p w:rsidR="00527D7F" w:rsidRPr="00527D7F" w:rsidRDefault="00527D7F" w:rsidP="001236AA">
                  <w:pPr>
                    <w:spacing w:before="0" w:after="0"/>
                    <w:rPr>
                      <w:rFonts w:ascii="Calibri" w:hAnsi="Calibri" w:cs="Calibri"/>
                      <w:b/>
                      <w:bCs/>
                      <w:color w:val="000000"/>
                    </w:rPr>
                  </w:pPr>
                  <w:r w:rsidRPr="00527D7F">
                    <w:rPr>
                      <w:rFonts w:ascii="Calibri" w:hAnsi="Calibri" w:cs="Calibri"/>
                      <w:b/>
                      <w:bCs/>
                      <w:color w:val="000000"/>
                    </w:rPr>
                    <w:t>Row Labels</w:t>
                  </w:r>
                </w:p>
              </w:tc>
              <w:tc>
                <w:tcPr>
                  <w:tcW w:w="2540" w:type="dxa"/>
                  <w:tcBorders>
                    <w:top w:val="nil"/>
                    <w:left w:val="nil"/>
                    <w:bottom w:val="single" w:sz="4" w:space="0" w:color="8EA9DB"/>
                    <w:right w:val="nil"/>
                  </w:tcBorders>
                  <w:shd w:val="clear" w:color="D9E1F2" w:fill="D9E1F2"/>
                  <w:noWrap/>
                  <w:vAlign w:val="bottom"/>
                  <w:hideMark/>
                </w:tcPr>
                <w:p w:rsidR="00527D7F" w:rsidRPr="00527D7F" w:rsidRDefault="00527D7F" w:rsidP="001236AA">
                  <w:pPr>
                    <w:spacing w:before="0" w:after="0"/>
                    <w:rPr>
                      <w:rFonts w:ascii="Calibri" w:hAnsi="Calibri" w:cs="Calibri"/>
                      <w:b/>
                      <w:bCs/>
                      <w:color w:val="000000"/>
                    </w:rPr>
                  </w:pPr>
                  <w:r w:rsidRPr="00527D7F">
                    <w:rPr>
                      <w:rFonts w:ascii="Calibri" w:hAnsi="Calibri" w:cs="Calibri"/>
                      <w:b/>
                      <w:bCs/>
                      <w:color w:val="000000"/>
                    </w:rPr>
                    <w:t>Sum of Merchandise Amt</w:t>
                  </w:r>
                </w:p>
              </w:tc>
            </w:tr>
            <w:tr w:rsidR="00527D7F" w:rsidRPr="00527D7F" w:rsidTr="00527D7F">
              <w:trPr>
                <w:trHeight w:val="290"/>
              </w:trPr>
              <w:tc>
                <w:tcPr>
                  <w:tcW w:w="142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rPr>
                      <w:rFonts w:ascii="Calibri" w:hAnsi="Calibri" w:cs="Calibri"/>
                      <w:b/>
                      <w:bCs/>
                      <w:color w:val="000000"/>
                    </w:rPr>
                  </w:pPr>
                  <w:r w:rsidRPr="00527D7F">
                    <w:rPr>
                      <w:rFonts w:ascii="Calibri" w:hAnsi="Calibri" w:cs="Calibri"/>
                      <w:b/>
                      <w:bCs/>
                      <w:color w:val="000000"/>
                    </w:rPr>
                    <w:t>2016</w:t>
                  </w:r>
                </w:p>
              </w:tc>
              <w:tc>
                <w:tcPr>
                  <w:tcW w:w="254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jc w:val="right"/>
                    <w:rPr>
                      <w:rFonts w:ascii="Calibri" w:hAnsi="Calibri" w:cs="Calibri"/>
                      <w:b/>
                      <w:bCs/>
                      <w:color w:val="000000"/>
                    </w:rPr>
                  </w:pPr>
                  <w:r w:rsidRPr="00527D7F">
                    <w:rPr>
                      <w:rFonts w:ascii="Calibri" w:hAnsi="Calibri" w:cs="Calibri"/>
                      <w:b/>
                      <w:bCs/>
                      <w:color w:val="000000"/>
                    </w:rPr>
                    <w:t>41,683.49</w:t>
                  </w:r>
                </w:p>
              </w:tc>
            </w:tr>
            <w:tr w:rsidR="00527D7F" w:rsidRPr="00527D7F" w:rsidTr="00527D7F">
              <w:trPr>
                <w:trHeight w:val="290"/>
              </w:trPr>
              <w:tc>
                <w:tcPr>
                  <w:tcW w:w="142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rPr>
                      <w:rFonts w:ascii="Calibri" w:hAnsi="Calibri" w:cs="Calibri"/>
                      <w:b/>
                      <w:bCs/>
                      <w:color w:val="000000"/>
                    </w:rPr>
                  </w:pPr>
                  <w:r w:rsidRPr="00527D7F">
                    <w:rPr>
                      <w:rFonts w:ascii="Calibri" w:hAnsi="Calibri" w:cs="Calibri"/>
                      <w:b/>
                      <w:bCs/>
                      <w:color w:val="000000"/>
                    </w:rPr>
                    <w:t>2017</w:t>
                  </w:r>
                </w:p>
              </w:tc>
              <w:tc>
                <w:tcPr>
                  <w:tcW w:w="254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jc w:val="right"/>
                    <w:rPr>
                      <w:rFonts w:ascii="Calibri" w:hAnsi="Calibri" w:cs="Calibri"/>
                      <w:b/>
                      <w:bCs/>
                      <w:color w:val="000000"/>
                    </w:rPr>
                  </w:pPr>
                  <w:r w:rsidRPr="00527D7F">
                    <w:rPr>
                      <w:rFonts w:ascii="Calibri" w:hAnsi="Calibri" w:cs="Calibri"/>
                      <w:b/>
                      <w:bCs/>
                      <w:color w:val="000000"/>
                    </w:rPr>
                    <w:t>366,617.56</w:t>
                  </w:r>
                </w:p>
              </w:tc>
            </w:tr>
            <w:tr w:rsidR="00527D7F" w:rsidRPr="00527D7F" w:rsidTr="00527D7F">
              <w:trPr>
                <w:trHeight w:val="290"/>
              </w:trPr>
              <w:tc>
                <w:tcPr>
                  <w:tcW w:w="142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rPr>
                      <w:rFonts w:ascii="Calibri" w:hAnsi="Calibri" w:cs="Calibri"/>
                      <w:b/>
                      <w:bCs/>
                      <w:color w:val="000000"/>
                    </w:rPr>
                  </w:pPr>
                  <w:r w:rsidRPr="00527D7F">
                    <w:rPr>
                      <w:rFonts w:ascii="Calibri" w:hAnsi="Calibri" w:cs="Calibri"/>
                      <w:b/>
                      <w:bCs/>
                      <w:color w:val="000000"/>
                    </w:rPr>
                    <w:t>2018</w:t>
                  </w:r>
                </w:p>
              </w:tc>
              <w:tc>
                <w:tcPr>
                  <w:tcW w:w="254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jc w:val="right"/>
                    <w:rPr>
                      <w:rFonts w:ascii="Calibri" w:hAnsi="Calibri" w:cs="Calibri"/>
                      <w:b/>
                      <w:bCs/>
                      <w:color w:val="000000"/>
                    </w:rPr>
                  </w:pPr>
                  <w:r w:rsidRPr="00527D7F">
                    <w:rPr>
                      <w:rFonts w:ascii="Calibri" w:hAnsi="Calibri" w:cs="Calibri"/>
                      <w:b/>
                      <w:bCs/>
                      <w:color w:val="000000"/>
                    </w:rPr>
                    <w:t>558,869.16</w:t>
                  </w:r>
                </w:p>
              </w:tc>
            </w:tr>
            <w:tr w:rsidR="00527D7F" w:rsidRPr="00527D7F" w:rsidTr="00527D7F">
              <w:trPr>
                <w:trHeight w:val="290"/>
              </w:trPr>
              <w:tc>
                <w:tcPr>
                  <w:tcW w:w="142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rPr>
                      <w:rFonts w:ascii="Calibri" w:hAnsi="Calibri" w:cs="Calibri"/>
                      <w:b/>
                      <w:bCs/>
                      <w:color w:val="000000"/>
                    </w:rPr>
                  </w:pPr>
                  <w:r w:rsidRPr="00527D7F">
                    <w:rPr>
                      <w:rFonts w:ascii="Calibri" w:hAnsi="Calibri" w:cs="Calibri"/>
                      <w:b/>
                      <w:bCs/>
                      <w:color w:val="000000"/>
                    </w:rPr>
                    <w:t>2019</w:t>
                  </w:r>
                </w:p>
              </w:tc>
              <w:tc>
                <w:tcPr>
                  <w:tcW w:w="254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jc w:val="right"/>
                    <w:rPr>
                      <w:rFonts w:ascii="Calibri" w:hAnsi="Calibri" w:cs="Calibri"/>
                      <w:b/>
                      <w:bCs/>
                      <w:color w:val="000000"/>
                    </w:rPr>
                  </w:pPr>
                  <w:r w:rsidRPr="00527D7F">
                    <w:rPr>
                      <w:rFonts w:ascii="Calibri" w:hAnsi="Calibri" w:cs="Calibri"/>
                      <w:b/>
                      <w:bCs/>
                      <w:color w:val="000000"/>
                    </w:rPr>
                    <w:t>1,195,464.57</w:t>
                  </w:r>
                </w:p>
              </w:tc>
            </w:tr>
            <w:tr w:rsidR="00527D7F" w:rsidRPr="00527D7F" w:rsidTr="00527D7F">
              <w:trPr>
                <w:trHeight w:val="290"/>
              </w:trPr>
              <w:tc>
                <w:tcPr>
                  <w:tcW w:w="142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rPr>
                      <w:rFonts w:ascii="Calibri" w:hAnsi="Calibri" w:cs="Calibri"/>
                      <w:b/>
                      <w:bCs/>
                      <w:color w:val="000000"/>
                    </w:rPr>
                  </w:pPr>
                  <w:r w:rsidRPr="00527D7F">
                    <w:rPr>
                      <w:rFonts w:ascii="Calibri" w:hAnsi="Calibri" w:cs="Calibri"/>
                      <w:b/>
                      <w:bCs/>
                      <w:color w:val="000000"/>
                    </w:rPr>
                    <w:t>2020</w:t>
                  </w:r>
                </w:p>
              </w:tc>
              <w:tc>
                <w:tcPr>
                  <w:tcW w:w="2540" w:type="dxa"/>
                  <w:tcBorders>
                    <w:top w:val="nil"/>
                    <w:left w:val="nil"/>
                    <w:bottom w:val="single" w:sz="4" w:space="0" w:color="8EA9DB"/>
                    <w:right w:val="nil"/>
                  </w:tcBorders>
                  <w:shd w:val="clear" w:color="auto" w:fill="auto"/>
                  <w:noWrap/>
                  <w:vAlign w:val="bottom"/>
                  <w:hideMark/>
                </w:tcPr>
                <w:p w:rsidR="00527D7F" w:rsidRPr="00527D7F" w:rsidRDefault="00527D7F" w:rsidP="001236AA">
                  <w:pPr>
                    <w:spacing w:before="0" w:after="0"/>
                    <w:jc w:val="right"/>
                    <w:rPr>
                      <w:rFonts w:ascii="Calibri" w:hAnsi="Calibri" w:cs="Calibri"/>
                      <w:b/>
                      <w:bCs/>
                      <w:color w:val="000000"/>
                    </w:rPr>
                  </w:pPr>
                  <w:r w:rsidRPr="00527D7F">
                    <w:rPr>
                      <w:rFonts w:ascii="Calibri" w:hAnsi="Calibri" w:cs="Calibri"/>
                      <w:b/>
                      <w:bCs/>
                      <w:color w:val="000000"/>
                    </w:rPr>
                    <w:t>415,074.14</w:t>
                  </w:r>
                </w:p>
              </w:tc>
            </w:tr>
            <w:tr w:rsidR="00527D7F" w:rsidRPr="00527D7F" w:rsidTr="00527D7F">
              <w:trPr>
                <w:trHeight w:val="290"/>
              </w:trPr>
              <w:tc>
                <w:tcPr>
                  <w:tcW w:w="1420" w:type="dxa"/>
                  <w:tcBorders>
                    <w:top w:val="single" w:sz="4" w:space="0" w:color="8EA9DB"/>
                    <w:left w:val="nil"/>
                    <w:bottom w:val="nil"/>
                    <w:right w:val="nil"/>
                  </w:tcBorders>
                  <w:shd w:val="clear" w:color="D9E1F2" w:fill="D9E1F2"/>
                  <w:noWrap/>
                  <w:vAlign w:val="bottom"/>
                  <w:hideMark/>
                </w:tcPr>
                <w:p w:rsidR="00527D7F" w:rsidRPr="00527D7F" w:rsidRDefault="00527D7F" w:rsidP="001236AA">
                  <w:pPr>
                    <w:spacing w:before="0" w:after="0"/>
                    <w:rPr>
                      <w:rFonts w:ascii="Calibri" w:hAnsi="Calibri" w:cs="Calibri"/>
                      <w:b/>
                      <w:bCs/>
                      <w:color w:val="000000"/>
                    </w:rPr>
                  </w:pPr>
                  <w:r w:rsidRPr="00527D7F">
                    <w:rPr>
                      <w:rFonts w:ascii="Calibri" w:hAnsi="Calibri" w:cs="Calibri"/>
                      <w:b/>
                      <w:bCs/>
                      <w:color w:val="000000"/>
                    </w:rPr>
                    <w:t>Grand Total</w:t>
                  </w:r>
                </w:p>
              </w:tc>
              <w:tc>
                <w:tcPr>
                  <w:tcW w:w="2540" w:type="dxa"/>
                  <w:tcBorders>
                    <w:top w:val="single" w:sz="4" w:space="0" w:color="8EA9DB"/>
                    <w:left w:val="nil"/>
                    <w:bottom w:val="nil"/>
                    <w:right w:val="nil"/>
                  </w:tcBorders>
                  <w:shd w:val="clear" w:color="D9E1F2" w:fill="D9E1F2"/>
                  <w:noWrap/>
                  <w:vAlign w:val="bottom"/>
                  <w:hideMark/>
                </w:tcPr>
                <w:p w:rsidR="00527D7F" w:rsidRPr="00527D7F" w:rsidRDefault="00527D7F" w:rsidP="001236AA">
                  <w:pPr>
                    <w:spacing w:before="0" w:after="0"/>
                    <w:jc w:val="right"/>
                    <w:rPr>
                      <w:rFonts w:ascii="Calibri" w:hAnsi="Calibri" w:cs="Calibri"/>
                      <w:b/>
                      <w:bCs/>
                      <w:color w:val="000000"/>
                    </w:rPr>
                  </w:pPr>
                  <w:r w:rsidRPr="00527D7F">
                    <w:rPr>
                      <w:rFonts w:ascii="Calibri" w:hAnsi="Calibri" w:cs="Calibri"/>
                      <w:b/>
                      <w:bCs/>
                      <w:color w:val="000000"/>
                    </w:rPr>
                    <w:t>2,577,708.92</w:t>
                  </w:r>
                </w:p>
              </w:tc>
            </w:tr>
          </w:tbl>
          <w:p w:rsidR="00B21510" w:rsidRPr="009A2F34" w:rsidRDefault="00B21510" w:rsidP="001236AA">
            <w:pPr>
              <w:jc w:val="both"/>
              <w:rPr>
                <w:rFonts w:ascii="Arial" w:hAnsi="Arial" w:cs="Arial"/>
              </w:rPr>
            </w:pPr>
          </w:p>
        </w:tc>
      </w:tr>
      <w:tr w:rsidR="00B21510" w:rsidRPr="009A2F34" w:rsidTr="001236AA">
        <w:tc>
          <w:tcPr>
            <w:tcW w:w="632" w:type="dxa"/>
            <w:tcBorders>
              <w:bottom w:val="single" w:sz="4" w:space="0" w:color="FFFFFF" w:themeColor="background1"/>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Q</w:t>
            </w:r>
            <w:r w:rsidR="00E27565" w:rsidRPr="009A2F34">
              <w:rPr>
                <w:rFonts w:ascii="Arial" w:hAnsi="Arial" w:cs="Arial"/>
              </w:rPr>
              <w:t>27</w:t>
            </w:r>
          </w:p>
        </w:tc>
        <w:tc>
          <w:tcPr>
            <w:tcW w:w="1649" w:type="dxa"/>
            <w:tcBorders>
              <w:top w:val="single" w:sz="4" w:space="0" w:color="FFFFFF"/>
              <w:left w:val="single" w:sz="4" w:space="0" w:color="FFFFFF"/>
              <w:bottom w:val="single" w:sz="4" w:space="0" w:color="FFFFFF" w:themeColor="background1"/>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7</w:t>
            </w:r>
          </w:p>
        </w:tc>
        <w:tc>
          <w:tcPr>
            <w:tcW w:w="1252"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24</w:t>
            </w: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How many positions did you hire for in the past three years per job title?</w:t>
            </w:r>
          </w:p>
        </w:tc>
        <w:tc>
          <w:tcPr>
            <w:tcW w:w="2423" w:type="dxa"/>
            <w:tcBorders>
              <w:left w:val="single" w:sz="4" w:space="0" w:color="FFFFFF" w:themeColor="background1"/>
              <w:bottom w:val="single" w:sz="4" w:space="0" w:color="FFFFFF" w:themeColor="background1"/>
            </w:tcBorders>
            <w:shd w:val="clear" w:color="auto" w:fill="BDD6EE" w:themeFill="accent5" w:themeFillTint="66"/>
          </w:tcPr>
          <w:p w:rsidR="00B21510" w:rsidRPr="009A2F34" w:rsidRDefault="00E27565" w:rsidP="001236AA">
            <w:pPr>
              <w:jc w:val="both"/>
              <w:rPr>
                <w:rFonts w:ascii="Arial" w:hAnsi="Arial" w:cs="Arial"/>
              </w:rPr>
            </w:pPr>
            <w:r w:rsidRPr="009A2F34">
              <w:rPr>
                <w:rFonts w:ascii="Arial" w:hAnsi="Arial" w:cs="Arial"/>
              </w:rPr>
              <w:t xml:space="preserve">About 60 from May 2016 to February 2020. The break-down of the 60 is in Appendix 7. </w:t>
            </w:r>
          </w:p>
        </w:tc>
      </w:tr>
      <w:tr w:rsidR="00E27565"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E27565" w:rsidRPr="009A2F34" w:rsidRDefault="008F0224" w:rsidP="001236AA">
            <w:pPr>
              <w:jc w:val="both"/>
              <w:rPr>
                <w:rFonts w:ascii="Arial" w:hAnsi="Arial" w:cs="Arial"/>
              </w:rPr>
            </w:pPr>
            <w:r w:rsidRPr="009A2F34">
              <w:rPr>
                <w:rFonts w:ascii="Arial" w:hAnsi="Arial" w:cs="Arial"/>
              </w:rPr>
              <w:t>Q28</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E27565" w:rsidRPr="009A2F34" w:rsidRDefault="00E27565"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E27565" w:rsidRPr="009A2F34" w:rsidRDefault="00E27565"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E27565" w:rsidRPr="009A2F34" w:rsidRDefault="00E27565" w:rsidP="001236AA">
            <w:pPr>
              <w:rPr>
                <w:rFonts w:ascii="Arial" w:hAnsi="Arial" w:cs="Arial"/>
              </w:rPr>
            </w:pPr>
            <w:r w:rsidRPr="009A2F34">
              <w:rPr>
                <w:rFonts w:ascii="Arial" w:hAnsi="Arial" w:cs="Arial"/>
              </w:rPr>
              <w:t xml:space="preserve">Will local companies get additional points for being local? </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E27565" w:rsidRPr="009A2F34" w:rsidRDefault="00FA2414" w:rsidP="001236AA">
            <w:pPr>
              <w:jc w:val="both"/>
              <w:rPr>
                <w:rFonts w:ascii="Arial" w:hAnsi="Arial" w:cs="Arial"/>
              </w:rPr>
            </w:pPr>
            <w:r w:rsidRPr="009A2F34">
              <w:rPr>
                <w:rFonts w:ascii="Arial" w:hAnsi="Arial" w:cs="Arial"/>
              </w:rPr>
              <w:t xml:space="preserve">Companies that have specific expertise with how the local market approaches these Job Categories and </w:t>
            </w:r>
            <w:proofErr w:type="gramStart"/>
            <w:r w:rsidRPr="009A2F34">
              <w:rPr>
                <w:rFonts w:ascii="Arial" w:hAnsi="Arial" w:cs="Arial"/>
              </w:rPr>
              <w:t>particular success</w:t>
            </w:r>
            <w:proofErr w:type="gramEnd"/>
            <w:r w:rsidRPr="009A2F34">
              <w:rPr>
                <w:rFonts w:ascii="Arial" w:hAnsi="Arial" w:cs="Arial"/>
              </w:rPr>
              <w:t xml:space="preserve"> placing candidates because of their understanding of the local market should so specify in their response to Appendix 7. </w:t>
            </w:r>
          </w:p>
        </w:tc>
      </w:tr>
      <w:tr w:rsidR="00FA2414"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FA2414" w:rsidRPr="009A2F34" w:rsidRDefault="008F0224" w:rsidP="001236AA">
            <w:pPr>
              <w:jc w:val="both"/>
              <w:rPr>
                <w:rFonts w:ascii="Arial" w:hAnsi="Arial" w:cs="Arial"/>
              </w:rPr>
            </w:pPr>
            <w:r w:rsidRPr="009A2F34">
              <w:rPr>
                <w:rFonts w:ascii="Arial" w:hAnsi="Arial" w:cs="Arial"/>
              </w:rPr>
              <w:t>Q29</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FA2414" w:rsidRPr="009A2F34" w:rsidRDefault="00FA2414"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FA2414" w:rsidRPr="009A2F34" w:rsidRDefault="00FA2414"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FA2414" w:rsidRPr="009A2F34" w:rsidRDefault="00FA2414" w:rsidP="001236AA">
            <w:pPr>
              <w:rPr>
                <w:rFonts w:ascii="Arial" w:hAnsi="Arial" w:cs="Arial"/>
              </w:rPr>
            </w:pPr>
            <w:r w:rsidRPr="009A2F34">
              <w:rPr>
                <w:rFonts w:ascii="Arial" w:hAnsi="Arial" w:cs="Arial"/>
              </w:rPr>
              <w:t>Is subcontracting allowed?</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FA2414" w:rsidRPr="009A2F34" w:rsidRDefault="00FA2414" w:rsidP="001236AA">
            <w:pPr>
              <w:jc w:val="both"/>
              <w:rPr>
                <w:rFonts w:ascii="Arial" w:hAnsi="Arial" w:cs="Arial"/>
              </w:rPr>
            </w:pPr>
            <w:r w:rsidRPr="009A2F34">
              <w:rPr>
                <w:rFonts w:ascii="Arial" w:hAnsi="Arial" w:cs="Arial"/>
              </w:rPr>
              <w:t xml:space="preserve">Yes. Proposals must identify all proposed </w:t>
            </w:r>
            <w:r w:rsidR="009C13B8" w:rsidRPr="009A2F34">
              <w:rPr>
                <w:rFonts w:ascii="Arial" w:hAnsi="Arial" w:cs="Arial"/>
              </w:rPr>
              <w:t>s</w:t>
            </w:r>
            <w:r w:rsidRPr="009A2F34">
              <w:rPr>
                <w:rFonts w:ascii="Arial" w:hAnsi="Arial" w:cs="Arial"/>
              </w:rPr>
              <w:t xml:space="preserve">ubcontractors and describe the contractual relationship between the </w:t>
            </w:r>
            <w:r w:rsidR="00DC6458" w:rsidRPr="009A2F34">
              <w:rPr>
                <w:rFonts w:ascii="Arial" w:hAnsi="Arial" w:cs="Arial"/>
              </w:rPr>
              <w:t>p</w:t>
            </w:r>
            <w:r w:rsidRPr="009A2F34">
              <w:rPr>
                <w:rFonts w:ascii="Arial" w:hAnsi="Arial" w:cs="Arial"/>
              </w:rPr>
              <w:t xml:space="preserve">roposer and each </w:t>
            </w:r>
            <w:r w:rsidR="009C13B8" w:rsidRPr="009A2F34">
              <w:rPr>
                <w:rFonts w:ascii="Arial" w:hAnsi="Arial" w:cs="Arial"/>
              </w:rPr>
              <w:t>s</w:t>
            </w:r>
            <w:r w:rsidRPr="009A2F34">
              <w:rPr>
                <w:rFonts w:ascii="Arial" w:hAnsi="Arial" w:cs="Arial"/>
              </w:rPr>
              <w:t>ubcontractor. Identify subcontractors on Appendix 3.</w:t>
            </w:r>
            <w:r w:rsidR="009A382B" w:rsidRPr="009A2F34">
              <w:rPr>
                <w:rFonts w:ascii="Arial" w:hAnsi="Arial" w:cs="Arial"/>
              </w:rPr>
              <w:t xml:space="preserve"> If </w:t>
            </w:r>
            <w:r w:rsidR="009A382B" w:rsidRPr="009A2F34">
              <w:rPr>
                <w:rFonts w:ascii="Arial" w:hAnsi="Arial" w:cs="Arial"/>
              </w:rPr>
              <w:lastRenderedPageBreak/>
              <w:t xml:space="preserve">you mean is it required that the candidates offered be </w:t>
            </w:r>
            <w:r w:rsidR="009A382B" w:rsidRPr="009A2F34">
              <w:rPr>
                <w:rFonts w:ascii="Arial" w:hAnsi="Arial" w:cs="Arial"/>
                <w:i/>
                <w:iCs/>
              </w:rPr>
              <w:t>employed</w:t>
            </w:r>
            <w:r w:rsidR="009A382B" w:rsidRPr="009A2F34">
              <w:rPr>
                <w:rFonts w:ascii="Arial" w:hAnsi="Arial" w:cs="Arial"/>
              </w:rPr>
              <w:t xml:space="preserve"> by the staffing company – no, that is not required. </w:t>
            </w:r>
          </w:p>
        </w:tc>
      </w:tr>
      <w:tr w:rsidR="009A382B"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8F0224" w:rsidP="001236AA">
            <w:pPr>
              <w:jc w:val="both"/>
              <w:rPr>
                <w:rFonts w:ascii="Arial" w:hAnsi="Arial" w:cs="Arial"/>
              </w:rPr>
            </w:pPr>
            <w:r w:rsidRPr="009A2F34">
              <w:rPr>
                <w:rFonts w:ascii="Arial" w:hAnsi="Arial" w:cs="Arial"/>
              </w:rPr>
              <w:lastRenderedPageBreak/>
              <w:t>Q30</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9A382B"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9A382B"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9A382B" w:rsidP="001236AA">
            <w:pPr>
              <w:rPr>
                <w:rFonts w:ascii="Arial" w:hAnsi="Arial" w:cs="Arial"/>
              </w:rPr>
            </w:pPr>
            <w:r w:rsidRPr="009A2F34">
              <w:rPr>
                <w:rFonts w:ascii="Arial" w:hAnsi="Arial" w:cs="Arial"/>
              </w:rPr>
              <w:t>Does the winning company need to provide any type of facilities or hardware?</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9A382B" w:rsidP="001236AA">
            <w:pPr>
              <w:jc w:val="both"/>
              <w:rPr>
                <w:rFonts w:ascii="Arial" w:hAnsi="Arial" w:cs="Arial"/>
              </w:rPr>
            </w:pPr>
            <w:r w:rsidRPr="009A2F34">
              <w:rPr>
                <w:rFonts w:ascii="Arial" w:hAnsi="Arial" w:cs="Arial"/>
              </w:rPr>
              <w:t xml:space="preserve">No. </w:t>
            </w:r>
          </w:p>
        </w:tc>
      </w:tr>
      <w:tr w:rsidR="009A382B"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8F0224" w:rsidP="001236AA">
            <w:pPr>
              <w:jc w:val="both"/>
              <w:rPr>
                <w:rFonts w:ascii="Arial" w:hAnsi="Arial" w:cs="Arial"/>
              </w:rPr>
            </w:pPr>
            <w:r w:rsidRPr="009A2F34">
              <w:rPr>
                <w:rFonts w:ascii="Arial" w:hAnsi="Arial" w:cs="Arial"/>
              </w:rPr>
              <w:t>Q31</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9A382B"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9A382B"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9A382B" w:rsidP="001236AA">
            <w:pPr>
              <w:rPr>
                <w:rFonts w:ascii="Arial" w:hAnsi="Arial" w:cs="Arial"/>
              </w:rPr>
            </w:pPr>
            <w:r w:rsidRPr="009A2F34">
              <w:rPr>
                <w:rFonts w:ascii="Arial" w:hAnsi="Arial" w:cs="Arial"/>
              </w:rPr>
              <w:t xml:space="preserve">Is this time and materials or fixed bid? </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9A382B" w:rsidRPr="009A2F34" w:rsidRDefault="004A11DD" w:rsidP="001236AA">
            <w:pPr>
              <w:jc w:val="both"/>
              <w:rPr>
                <w:rFonts w:ascii="Arial" w:hAnsi="Arial" w:cs="Arial"/>
              </w:rPr>
            </w:pPr>
            <w:r w:rsidRPr="009A2F34">
              <w:rPr>
                <w:rFonts w:ascii="Arial" w:hAnsi="Arial" w:cs="Arial"/>
              </w:rPr>
              <w:t>For the proposers who are awarded and execute a contract with ETF, t</w:t>
            </w:r>
            <w:r w:rsidR="009A382B" w:rsidRPr="009A2F34">
              <w:rPr>
                <w:rFonts w:ascii="Arial" w:hAnsi="Arial" w:cs="Arial"/>
              </w:rPr>
              <w:t>he Maximum Bill Rates provide</w:t>
            </w:r>
            <w:r w:rsidRPr="009A2F34">
              <w:rPr>
                <w:rFonts w:ascii="Arial" w:hAnsi="Arial" w:cs="Arial"/>
              </w:rPr>
              <w:t>d</w:t>
            </w:r>
            <w:r w:rsidR="009A382B" w:rsidRPr="009A2F34">
              <w:rPr>
                <w:rFonts w:ascii="Arial" w:hAnsi="Arial" w:cs="Arial"/>
              </w:rPr>
              <w:t xml:space="preserve"> on </w:t>
            </w:r>
            <w:r w:rsidRPr="009A2F34">
              <w:rPr>
                <w:rFonts w:ascii="Arial" w:hAnsi="Arial" w:cs="Arial"/>
              </w:rPr>
              <w:t xml:space="preserve">their </w:t>
            </w:r>
            <w:r w:rsidR="009A382B" w:rsidRPr="009A2F34">
              <w:rPr>
                <w:rFonts w:ascii="Arial" w:hAnsi="Arial" w:cs="Arial"/>
              </w:rPr>
              <w:t xml:space="preserve">Appendix 8 – Cost Proposal will populate a rate card. </w:t>
            </w:r>
            <w:r w:rsidRPr="009A2F34">
              <w:rPr>
                <w:rFonts w:ascii="Arial" w:hAnsi="Arial" w:cs="Arial"/>
              </w:rPr>
              <w:t>When ETF needs to fill a position, a</w:t>
            </w:r>
            <w:r w:rsidR="009A382B" w:rsidRPr="009A2F34">
              <w:rPr>
                <w:rFonts w:ascii="Arial" w:hAnsi="Arial" w:cs="Arial"/>
              </w:rPr>
              <w:t xml:space="preserve"> Position Request will specify the target bill rate, but staffing companies must bid i</w:t>
            </w:r>
            <w:r w:rsidRPr="009A2F34">
              <w:rPr>
                <w:rFonts w:ascii="Arial" w:hAnsi="Arial" w:cs="Arial"/>
              </w:rPr>
              <w:t>n</w:t>
            </w:r>
            <w:r w:rsidR="009A382B" w:rsidRPr="009A2F34">
              <w:rPr>
                <w:rFonts w:ascii="Arial" w:hAnsi="Arial" w:cs="Arial"/>
              </w:rPr>
              <w:t xml:space="preserve"> with an hourly bill rate at or below the </w:t>
            </w:r>
            <w:r w:rsidRPr="009A2F34">
              <w:rPr>
                <w:rFonts w:ascii="Arial" w:hAnsi="Arial" w:cs="Arial"/>
              </w:rPr>
              <w:t>Maximum Bill Rate</w:t>
            </w:r>
            <w:r w:rsidR="009A382B" w:rsidRPr="009A2F34">
              <w:rPr>
                <w:rFonts w:ascii="Arial" w:hAnsi="Arial" w:cs="Arial"/>
              </w:rPr>
              <w:t xml:space="preserve"> they provided for that Job Category on their </w:t>
            </w:r>
            <w:r w:rsidRPr="009A2F34">
              <w:rPr>
                <w:rFonts w:ascii="Arial" w:hAnsi="Arial" w:cs="Arial"/>
              </w:rPr>
              <w:t xml:space="preserve">Cost Proposal. </w:t>
            </w:r>
          </w:p>
        </w:tc>
      </w:tr>
      <w:tr w:rsidR="00053FA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53FAE" w:rsidRPr="009A2F34" w:rsidRDefault="008F0224" w:rsidP="001236AA">
            <w:pPr>
              <w:jc w:val="both"/>
              <w:rPr>
                <w:rFonts w:ascii="Arial" w:hAnsi="Arial" w:cs="Arial"/>
              </w:rPr>
            </w:pPr>
            <w:r w:rsidRPr="009A2F34">
              <w:rPr>
                <w:rFonts w:ascii="Arial" w:hAnsi="Arial" w:cs="Arial"/>
              </w:rPr>
              <w:t>Q32</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53FAE" w:rsidRPr="009A2F34" w:rsidRDefault="00053FA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53FAE" w:rsidRPr="009A2F34" w:rsidRDefault="00053FA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53FAE" w:rsidRPr="009A2F34" w:rsidRDefault="00053FAE" w:rsidP="001236AA">
            <w:pPr>
              <w:rPr>
                <w:rFonts w:ascii="Arial" w:hAnsi="Arial" w:cs="Arial"/>
              </w:rPr>
            </w:pPr>
            <w:r w:rsidRPr="009A2F34">
              <w:rPr>
                <w:rFonts w:ascii="Arial" w:hAnsi="Arial" w:cs="Arial"/>
              </w:rPr>
              <w:t xml:space="preserve">What deliverables will the state be expecting? </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53FAE" w:rsidRPr="009A2F34" w:rsidRDefault="00053FAE" w:rsidP="001236AA">
            <w:pPr>
              <w:jc w:val="both"/>
              <w:rPr>
                <w:rFonts w:ascii="Arial" w:hAnsi="Arial" w:cs="Arial"/>
              </w:rPr>
            </w:pPr>
            <w:r w:rsidRPr="009A2F34">
              <w:rPr>
                <w:rFonts w:ascii="Arial" w:hAnsi="Arial" w:cs="Arial"/>
              </w:rPr>
              <w:t>This will depend on each individual Position Request</w:t>
            </w:r>
            <w:r w:rsidR="000F4919" w:rsidRPr="009A2F34">
              <w:rPr>
                <w:rFonts w:ascii="Arial" w:hAnsi="Arial" w:cs="Arial"/>
              </w:rPr>
              <w:t xml:space="preserve">. In general, this is an hourly rate staffing contract. So, the worker’s time and quality work product are the deliverables. </w:t>
            </w:r>
          </w:p>
        </w:tc>
      </w:tr>
      <w:tr w:rsidR="000F4919"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8F0224" w:rsidP="001236AA">
            <w:pPr>
              <w:jc w:val="both"/>
              <w:rPr>
                <w:rFonts w:ascii="Arial" w:hAnsi="Arial" w:cs="Arial"/>
              </w:rPr>
            </w:pPr>
            <w:r w:rsidRPr="009A2F34">
              <w:rPr>
                <w:rFonts w:ascii="Arial" w:hAnsi="Arial" w:cs="Arial"/>
              </w:rPr>
              <w:t>Q33</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rPr>
                <w:rFonts w:ascii="Arial" w:hAnsi="Arial" w:cs="Arial"/>
              </w:rPr>
            </w:pPr>
            <w:r w:rsidRPr="009A2F34">
              <w:rPr>
                <w:rFonts w:ascii="Arial" w:hAnsi="Arial" w:cs="Arial"/>
              </w:rPr>
              <w:t xml:space="preserve">How long will the anticipated contract last? </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r w:rsidRPr="009A2F34">
              <w:rPr>
                <w:rFonts w:ascii="Arial" w:hAnsi="Arial" w:cs="Arial"/>
              </w:rPr>
              <w:t xml:space="preserve">See Section </w:t>
            </w:r>
            <w:r w:rsidRPr="009A2F34">
              <w:rPr>
                <w:rFonts w:ascii="Arial" w:hAnsi="Arial" w:cs="Arial"/>
                <w:b/>
                <w:bCs/>
              </w:rPr>
              <w:t>1.10 Contract Term</w:t>
            </w:r>
            <w:r w:rsidRPr="009A2F34">
              <w:rPr>
                <w:rFonts w:ascii="Arial" w:hAnsi="Arial" w:cs="Arial"/>
              </w:rPr>
              <w:t xml:space="preserve">. </w:t>
            </w:r>
          </w:p>
        </w:tc>
      </w:tr>
      <w:tr w:rsidR="000F4919"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8F0224" w:rsidP="001236AA">
            <w:pPr>
              <w:jc w:val="both"/>
              <w:rPr>
                <w:rFonts w:ascii="Arial" w:hAnsi="Arial" w:cs="Arial"/>
              </w:rPr>
            </w:pPr>
            <w:r w:rsidRPr="009A2F34">
              <w:rPr>
                <w:rFonts w:ascii="Arial" w:hAnsi="Arial" w:cs="Arial"/>
              </w:rPr>
              <w:t>Q34</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rPr>
                <w:rFonts w:ascii="Arial" w:hAnsi="Arial" w:cs="Arial"/>
                <w:sz w:val="24"/>
                <w:szCs w:val="24"/>
              </w:rPr>
            </w:pPr>
            <w:r w:rsidRPr="009A2F34">
              <w:rPr>
                <w:rFonts w:ascii="Arial" w:hAnsi="Arial" w:cs="Arial"/>
                <w:sz w:val="24"/>
                <w:szCs w:val="24"/>
              </w:rPr>
              <w:t>Is remote work allowed or no?</w:t>
            </w:r>
          </w:p>
          <w:p w:rsidR="000F4919" w:rsidRPr="009A2F34" w:rsidRDefault="000F4919" w:rsidP="001236AA">
            <w:pPr>
              <w:rPr>
                <w:rFonts w:ascii="Arial" w:hAnsi="Arial" w:cs="Arial"/>
                <w:sz w:val="24"/>
                <w:szCs w:val="24"/>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sz w:val="24"/>
                <w:szCs w:val="24"/>
              </w:rPr>
            </w:pPr>
            <w:r w:rsidRPr="009A2F34">
              <w:rPr>
                <w:rFonts w:ascii="Arial" w:hAnsi="Arial" w:cs="Arial"/>
                <w:sz w:val="24"/>
                <w:szCs w:val="24"/>
              </w:rPr>
              <w:t xml:space="preserve">Yes, with the manager’s approval. </w:t>
            </w:r>
          </w:p>
        </w:tc>
      </w:tr>
      <w:tr w:rsidR="000F4919"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8F0224" w:rsidP="001236AA">
            <w:pPr>
              <w:jc w:val="both"/>
              <w:rPr>
                <w:rFonts w:ascii="Arial" w:hAnsi="Arial" w:cs="Arial"/>
              </w:rPr>
            </w:pPr>
            <w:r w:rsidRPr="009A2F34">
              <w:rPr>
                <w:rFonts w:ascii="Arial" w:hAnsi="Arial" w:cs="Arial"/>
              </w:rPr>
              <w:t>Q35</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rPr>
                <w:rFonts w:ascii="Arial" w:hAnsi="Arial" w:cs="Arial"/>
              </w:rPr>
            </w:pPr>
            <w:r w:rsidRPr="009A2F34">
              <w:rPr>
                <w:rFonts w:ascii="Arial" w:hAnsi="Arial" w:cs="Arial"/>
              </w:rPr>
              <w:t xml:space="preserve">What are the basic qualifications a company </w:t>
            </w:r>
            <w:proofErr w:type="gramStart"/>
            <w:r w:rsidRPr="009A2F34">
              <w:rPr>
                <w:rFonts w:ascii="Arial" w:hAnsi="Arial" w:cs="Arial"/>
              </w:rPr>
              <w:t>has to</w:t>
            </w:r>
            <w:proofErr w:type="gramEnd"/>
            <w:r w:rsidRPr="009A2F34">
              <w:rPr>
                <w:rFonts w:ascii="Arial" w:hAnsi="Arial" w:cs="Arial"/>
              </w:rPr>
              <w:t xml:space="preserve"> meet to qualify to bid? </w:t>
            </w:r>
          </w:p>
          <w:p w:rsidR="000F4919" w:rsidRPr="009A2F34" w:rsidRDefault="000F4919" w:rsidP="001236AA">
            <w:pPr>
              <w:rPr>
                <w:rFonts w:ascii="Arial" w:hAnsi="Arial" w:cs="Arial"/>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r w:rsidRPr="009A2F34">
              <w:rPr>
                <w:rFonts w:ascii="Arial" w:hAnsi="Arial" w:cs="Arial"/>
              </w:rPr>
              <w:t xml:space="preserve">See </w:t>
            </w:r>
            <w:r w:rsidRPr="009A2F34">
              <w:rPr>
                <w:rFonts w:ascii="Arial" w:hAnsi="Arial" w:cs="Arial"/>
                <w:b/>
                <w:bCs/>
              </w:rPr>
              <w:t>Section 4 Mandatory Proposer Qualifications</w:t>
            </w:r>
            <w:r w:rsidRPr="009A2F34">
              <w:rPr>
                <w:rFonts w:ascii="Arial" w:hAnsi="Arial" w:cs="Arial"/>
              </w:rPr>
              <w:t xml:space="preserve">. </w:t>
            </w:r>
          </w:p>
        </w:tc>
      </w:tr>
      <w:tr w:rsidR="000F4919"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8F0224" w:rsidP="001236AA">
            <w:pPr>
              <w:jc w:val="both"/>
              <w:rPr>
                <w:rFonts w:ascii="Arial" w:hAnsi="Arial" w:cs="Arial"/>
              </w:rPr>
            </w:pPr>
            <w:r w:rsidRPr="009A2F34">
              <w:rPr>
                <w:rFonts w:ascii="Arial" w:hAnsi="Arial" w:cs="Arial"/>
              </w:rPr>
              <w:lastRenderedPageBreak/>
              <w:t>Q36</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0F4919"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rPr>
                <w:rFonts w:ascii="Arial" w:hAnsi="Arial" w:cs="Arial"/>
              </w:rPr>
            </w:pPr>
            <w:r w:rsidRPr="009A2F34">
              <w:rPr>
                <w:rFonts w:ascii="Arial" w:hAnsi="Arial" w:cs="Arial"/>
              </w:rPr>
              <w:t>Is there a subcontracting goal?</w:t>
            </w:r>
          </w:p>
          <w:p w:rsidR="000F4919" w:rsidRPr="009A2F34" w:rsidRDefault="000F4919" w:rsidP="001236AA">
            <w:pPr>
              <w:rPr>
                <w:rFonts w:ascii="Arial" w:hAnsi="Arial" w:cs="Arial"/>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F4919" w:rsidRPr="009A2F34" w:rsidRDefault="00217899" w:rsidP="001236AA">
            <w:pPr>
              <w:jc w:val="both"/>
              <w:rPr>
                <w:rFonts w:ascii="Arial" w:hAnsi="Arial" w:cs="Arial"/>
              </w:rPr>
            </w:pPr>
            <w:r w:rsidRPr="009A2F34">
              <w:rPr>
                <w:rFonts w:ascii="Arial" w:hAnsi="Arial" w:cs="Arial"/>
              </w:rPr>
              <w:t>No.</w:t>
            </w:r>
          </w:p>
        </w:tc>
      </w:tr>
      <w:tr w:rsidR="00217899"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8F0224" w:rsidP="001236AA">
            <w:pPr>
              <w:jc w:val="both"/>
              <w:rPr>
                <w:rFonts w:ascii="Arial" w:hAnsi="Arial" w:cs="Arial"/>
              </w:rPr>
            </w:pPr>
            <w:r w:rsidRPr="009A2F34">
              <w:rPr>
                <w:rFonts w:ascii="Arial" w:hAnsi="Arial" w:cs="Arial"/>
              </w:rPr>
              <w:t>Q37</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rPr>
                <w:rFonts w:ascii="Arial" w:hAnsi="Arial" w:cs="Arial"/>
              </w:rPr>
            </w:pPr>
            <w:r w:rsidRPr="009A2F34">
              <w:rPr>
                <w:rFonts w:ascii="Arial" w:hAnsi="Arial" w:cs="Arial"/>
              </w:rPr>
              <w:t>Where are the tabs located to upload a proposal in detail?</w:t>
            </w:r>
          </w:p>
          <w:p w:rsidR="00217899" w:rsidRPr="009A2F34" w:rsidRDefault="00217899" w:rsidP="001236AA">
            <w:pPr>
              <w:rPr>
                <w:rFonts w:ascii="Arial" w:hAnsi="Arial" w:cs="Arial"/>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jc w:val="both"/>
              <w:rPr>
                <w:rFonts w:ascii="Arial" w:hAnsi="Arial" w:cs="Arial"/>
              </w:rPr>
            </w:pPr>
            <w:r w:rsidRPr="009A2F34">
              <w:rPr>
                <w:rFonts w:ascii="Arial" w:hAnsi="Arial" w:cs="Arial"/>
              </w:rPr>
              <w:t xml:space="preserve">Proposers create the tabs to organize their proposal. Proposals must be uploaded onto ETF’s SFTP site per the directions in </w:t>
            </w:r>
            <w:r w:rsidRPr="009A2F34">
              <w:rPr>
                <w:rFonts w:ascii="Arial" w:hAnsi="Arial" w:cs="Arial"/>
                <w:b/>
                <w:bCs/>
              </w:rPr>
              <w:t>Section 2.3 Submitting the Proposal</w:t>
            </w:r>
            <w:r w:rsidRPr="009A2F34">
              <w:rPr>
                <w:rFonts w:ascii="Arial" w:hAnsi="Arial" w:cs="Arial"/>
              </w:rPr>
              <w:t xml:space="preserve">. </w:t>
            </w:r>
          </w:p>
        </w:tc>
      </w:tr>
      <w:tr w:rsidR="00217899"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8F0224" w:rsidP="001236AA">
            <w:pPr>
              <w:jc w:val="both"/>
              <w:rPr>
                <w:rFonts w:ascii="Arial" w:hAnsi="Arial" w:cs="Arial"/>
              </w:rPr>
            </w:pPr>
            <w:r w:rsidRPr="009A2F34">
              <w:rPr>
                <w:rFonts w:ascii="Arial" w:hAnsi="Arial" w:cs="Arial"/>
              </w:rPr>
              <w:t>Q38</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spacing w:before="0" w:after="0"/>
              <w:rPr>
                <w:rFonts w:ascii="Arial" w:hAnsi="Arial" w:cs="Arial"/>
                <w:color w:val="212121"/>
                <w:sz w:val="23"/>
                <w:szCs w:val="23"/>
              </w:rPr>
            </w:pPr>
            <w:r w:rsidRPr="009A2F34">
              <w:rPr>
                <w:rFonts w:ascii="Arial" w:hAnsi="Arial" w:cs="Arial"/>
                <w:color w:val="212121"/>
              </w:rPr>
              <w:t>Who are the current incumbents on this contract?</w:t>
            </w:r>
          </w:p>
          <w:p w:rsidR="00217899" w:rsidRPr="009A2F34" w:rsidRDefault="00217899" w:rsidP="001236AA">
            <w:pPr>
              <w:rPr>
                <w:rFonts w:ascii="Arial" w:hAnsi="Arial" w:cs="Arial"/>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217899" w:rsidRPr="009A2F34" w:rsidRDefault="00217899" w:rsidP="001236AA">
            <w:pPr>
              <w:jc w:val="both"/>
              <w:rPr>
                <w:rFonts w:ascii="Arial" w:hAnsi="Arial" w:cs="Arial"/>
              </w:rPr>
            </w:pPr>
            <w:r w:rsidRPr="009A2F34">
              <w:rPr>
                <w:rFonts w:ascii="Arial" w:hAnsi="Arial" w:cs="Arial"/>
              </w:rPr>
              <w:t>22</w:t>
            </w:r>
            <w:r w:rsidRPr="009A2F34">
              <w:rPr>
                <w:rFonts w:ascii="Arial" w:hAnsi="Arial" w:cs="Arial"/>
                <w:vertAlign w:val="superscript"/>
              </w:rPr>
              <w:t>nd</w:t>
            </w:r>
            <w:r w:rsidRPr="009A2F34">
              <w:rPr>
                <w:rFonts w:ascii="Arial" w:hAnsi="Arial" w:cs="Arial"/>
              </w:rPr>
              <w:t xml:space="preserve"> Century Technologies, Premier Staffing Source, and </w:t>
            </w:r>
            <w:proofErr w:type="spellStart"/>
            <w:r w:rsidRPr="009A2F34">
              <w:rPr>
                <w:rFonts w:ascii="Arial" w:hAnsi="Arial" w:cs="Arial"/>
              </w:rPr>
              <w:t>TeamSoft</w:t>
            </w:r>
            <w:proofErr w:type="spellEnd"/>
            <w:r w:rsidRPr="009A2F34">
              <w:rPr>
                <w:rFonts w:ascii="Arial" w:hAnsi="Arial" w:cs="Arial"/>
              </w:rPr>
              <w:t xml:space="preserve">. </w:t>
            </w:r>
          </w:p>
        </w:tc>
      </w:tr>
      <w:tr w:rsidR="008F0224"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8F0224" w:rsidRPr="009A2F34" w:rsidRDefault="008F0224" w:rsidP="001236AA">
            <w:pPr>
              <w:jc w:val="both"/>
              <w:rPr>
                <w:rFonts w:ascii="Arial" w:hAnsi="Arial" w:cs="Arial"/>
              </w:rPr>
            </w:pPr>
            <w:r w:rsidRPr="009A2F34">
              <w:rPr>
                <w:rFonts w:ascii="Arial" w:hAnsi="Arial" w:cs="Arial"/>
              </w:rPr>
              <w:t>Q39</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8F0224" w:rsidRPr="009A2F34" w:rsidRDefault="008F0224"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8F0224" w:rsidRPr="009A2F34" w:rsidRDefault="008F0224"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8F0224" w:rsidRPr="009A2F34" w:rsidRDefault="008F0224" w:rsidP="001236AA">
            <w:pPr>
              <w:spacing w:before="0" w:after="0"/>
              <w:rPr>
                <w:rFonts w:ascii="Arial" w:hAnsi="Arial" w:cs="Arial"/>
                <w:color w:val="212121"/>
                <w:sz w:val="23"/>
                <w:szCs w:val="23"/>
              </w:rPr>
            </w:pPr>
            <w:r w:rsidRPr="009A2F34">
              <w:rPr>
                <w:rFonts w:ascii="Arial" w:hAnsi="Arial" w:cs="Arial"/>
                <w:color w:val="212121"/>
              </w:rPr>
              <w:t>What is the current pricing on the contract?</w:t>
            </w:r>
          </w:p>
          <w:p w:rsidR="008F0224" w:rsidRPr="009A2F34" w:rsidRDefault="008F0224" w:rsidP="001236AA">
            <w:pPr>
              <w:spacing w:before="0" w:after="0"/>
              <w:rPr>
                <w:rFonts w:ascii="Arial" w:hAnsi="Arial" w:cs="Arial"/>
                <w:color w:val="212121"/>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8F0224" w:rsidRPr="009A2F34" w:rsidRDefault="008F0224" w:rsidP="001236AA">
            <w:pPr>
              <w:jc w:val="both"/>
              <w:rPr>
                <w:rFonts w:ascii="Arial" w:hAnsi="Arial" w:cs="Arial"/>
              </w:rPr>
            </w:pPr>
            <w:r w:rsidRPr="009A2F34">
              <w:rPr>
                <w:rFonts w:ascii="Arial" w:hAnsi="Arial" w:cs="Arial"/>
              </w:rPr>
              <w:t>See Q25 and Department Answer.</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Q40</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before="0" w:after="0"/>
              <w:rPr>
                <w:rFonts w:ascii="Arial" w:hAnsi="Arial" w:cs="Arial"/>
                <w:color w:val="212121"/>
                <w:sz w:val="23"/>
                <w:szCs w:val="23"/>
              </w:rPr>
            </w:pPr>
            <w:r w:rsidRPr="009A2F34">
              <w:rPr>
                <w:rFonts w:ascii="Arial" w:hAnsi="Arial" w:cs="Arial"/>
                <w:color w:val="212121"/>
              </w:rPr>
              <w:t>What is the budget allocated to this contract?</w:t>
            </w:r>
          </w:p>
          <w:p w:rsidR="004F627E" w:rsidRPr="009A2F34" w:rsidRDefault="004F627E" w:rsidP="001236AA">
            <w:pPr>
              <w:spacing w:before="0" w:after="0"/>
              <w:rPr>
                <w:rFonts w:ascii="Arial" w:hAnsi="Arial" w:cs="Arial"/>
                <w:color w:val="212121"/>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E50591" w:rsidP="001236AA">
            <w:pPr>
              <w:jc w:val="both"/>
              <w:rPr>
                <w:rFonts w:ascii="Arial" w:hAnsi="Arial" w:cs="Arial"/>
              </w:rPr>
            </w:pPr>
            <w:r w:rsidRPr="009A2F34">
              <w:rPr>
                <w:rFonts w:ascii="Arial" w:hAnsi="Arial" w:cs="Arial"/>
              </w:rPr>
              <w:t>The budget is not yet approved for FY21. However,</w:t>
            </w:r>
            <w:r w:rsidRPr="009A2F34">
              <w:rPr>
                <w:rFonts w:ascii="Arial" w:hAnsi="Arial" w:cs="Arial"/>
                <w:color w:val="000000"/>
              </w:rPr>
              <w:t xml:space="preserve"> at this time it appears that all currently filled positions on this contract will remain in the budget. E</w:t>
            </w:r>
            <w:r w:rsidRPr="009A2F34">
              <w:rPr>
                <w:rFonts w:ascii="Arial" w:hAnsi="Arial" w:cs="Arial"/>
              </w:rPr>
              <w:t xml:space="preserve">ven after a budget is approved, it may shift based on department needs as they arise. See Q16 and Department Answer for past spend.  </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Q41</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before="0" w:after="0"/>
              <w:rPr>
                <w:rFonts w:ascii="Arial" w:hAnsi="Arial" w:cs="Arial"/>
                <w:color w:val="212121"/>
                <w:sz w:val="23"/>
                <w:szCs w:val="23"/>
              </w:rPr>
            </w:pPr>
            <w:bookmarkStart w:id="6" w:name="_Hlk38841630"/>
            <w:r w:rsidRPr="009A2F34">
              <w:rPr>
                <w:rFonts w:ascii="Arial" w:hAnsi="Arial" w:cs="Arial"/>
                <w:color w:val="212121"/>
              </w:rPr>
              <w:t xml:space="preserve">How many temps are currently working </w:t>
            </w:r>
            <w:bookmarkEnd w:id="6"/>
            <w:r w:rsidRPr="009A2F34">
              <w:rPr>
                <w:rFonts w:ascii="Arial" w:hAnsi="Arial" w:cs="Arial"/>
                <w:color w:val="212121"/>
              </w:rPr>
              <w:t>on the existing contract and will they all be transitioned to the new vendors?</w:t>
            </w:r>
          </w:p>
          <w:p w:rsidR="004F627E" w:rsidRPr="009A2F34" w:rsidRDefault="004F627E" w:rsidP="001236AA">
            <w:pPr>
              <w:spacing w:before="0" w:after="0"/>
              <w:rPr>
                <w:rFonts w:ascii="Arial" w:hAnsi="Arial" w:cs="Arial"/>
                <w:color w:val="212121"/>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515C49" w:rsidP="001236AA">
            <w:pPr>
              <w:jc w:val="both"/>
              <w:rPr>
                <w:rFonts w:ascii="Arial" w:hAnsi="Arial" w:cs="Arial"/>
              </w:rPr>
            </w:pPr>
            <w:r w:rsidRPr="009A2F34">
              <w:rPr>
                <w:rFonts w:ascii="Arial" w:hAnsi="Arial" w:cs="Arial"/>
              </w:rPr>
              <w:t>There are 25.</w:t>
            </w:r>
            <w:r w:rsidR="004F627E" w:rsidRPr="009A2F34">
              <w:rPr>
                <w:rFonts w:ascii="Arial" w:hAnsi="Arial" w:cs="Arial"/>
              </w:rPr>
              <w:t xml:space="preserve"> See Q4 and Department Answer.</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Q42</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before="0" w:after="0"/>
              <w:rPr>
                <w:rFonts w:ascii="Arial" w:hAnsi="Arial" w:cs="Arial"/>
                <w:color w:val="212121"/>
              </w:rPr>
            </w:pPr>
            <w:r w:rsidRPr="009A2F34">
              <w:rPr>
                <w:rFonts w:ascii="Arial" w:hAnsi="Arial" w:cs="Arial"/>
                <w:color w:val="212121"/>
              </w:rPr>
              <w:t>How many positions were filled during the last contract?</w:t>
            </w:r>
          </w:p>
          <w:p w:rsidR="004F627E" w:rsidRPr="009A2F34" w:rsidRDefault="004F627E" w:rsidP="001236AA">
            <w:pPr>
              <w:spacing w:before="0" w:after="0"/>
              <w:rPr>
                <w:rFonts w:ascii="Arial" w:hAnsi="Arial" w:cs="Arial"/>
                <w:color w:val="212121"/>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 xml:space="preserve">Approximately 60. </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Q43</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after="0"/>
              <w:jc w:val="both"/>
              <w:rPr>
                <w:rFonts w:ascii="Arial" w:hAnsi="Arial" w:cs="Arial"/>
                <w:lang w:val="en-IN"/>
              </w:rPr>
            </w:pPr>
            <w:r w:rsidRPr="009A2F34">
              <w:rPr>
                <w:rFonts w:ascii="Arial" w:hAnsi="Arial" w:cs="Arial"/>
                <w:lang w:val="en-IN"/>
              </w:rPr>
              <w:t xml:space="preserve">Can you please provide the incumbent vendors previous bid documents? </w:t>
            </w:r>
          </w:p>
          <w:p w:rsidR="004F627E" w:rsidRPr="009A2F34" w:rsidRDefault="004F627E" w:rsidP="001236AA">
            <w:pPr>
              <w:spacing w:before="0" w:after="0"/>
              <w:rPr>
                <w:rFonts w:ascii="Arial" w:hAnsi="Arial" w:cs="Arial"/>
                <w:color w:val="212121"/>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 xml:space="preserve">See </w:t>
            </w:r>
            <w:hyperlink r:id="rId9" w:history="1">
              <w:r w:rsidRPr="009A2F34">
                <w:rPr>
                  <w:rStyle w:val="Hyperlink"/>
                  <w:rFonts w:ascii="Arial" w:hAnsi="Arial" w:cs="Arial"/>
                </w:rPr>
                <w:t>ETF’s website</w:t>
              </w:r>
            </w:hyperlink>
            <w:r w:rsidRPr="009A2F34">
              <w:rPr>
                <w:rFonts w:ascii="Arial" w:hAnsi="Arial" w:cs="Arial"/>
              </w:rPr>
              <w:t xml:space="preserve"> for information on the prior version of this contract. </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Q44</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after="0"/>
              <w:jc w:val="both"/>
              <w:rPr>
                <w:rFonts w:ascii="Arial" w:hAnsi="Arial" w:cs="Arial"/>
                <w:lang w:val="en-IN"/>
              </w:rPr>
            </w:pPr>
            <w:r w:rsidRPr="009A2F34">
              <w:rPr>
                <w:rFonts w:ascii="Arial" w:hAnsi="Arial" w:cs="Arial"/>
                <w:lang w:val="en-IN"/>
              </w:rPr>
              <w:t xml:space="preserve">What is the annual spend for this contract? </w:t>
            </w: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070033" w:rsidRDefault="00527D7F" w:rsidP="001236AA">
            <w:pPr>
              <w:jc w:val="both"/>
              <w:rPr>
                <w:rFonts w:ascii="Arial" w:hAnsi="Arial" w:cs="Arial"/>
                <w:color w:val="000000"/>
              </w:rPr>
            </w:pPr>
            <w:r w:rsidRPr="009A2F34">
              <w:rPr>
                <w:rFonts w:ascii="Arial" w:hAnsi="Arial" w:cs="Arial"/>
              </w:rPr>
              <w:t xml:space="preserve">Calendar </w:t>
            </w:r>
            <w:r w:rsidR="00070033">
              <w:rPr>
                <w:rFonts w:ascii="Arial" w:hAnsi="Arial" w:cs="Arial"/>
              </w:rPr>
              <w:t>y</w:t>
            </w:r>
            <w:r w:rsidRPr="009A2F34">
              <w:rPr>
                <w:rFonts w:ascii="Arial" w:hAnsi="Arial" w:cs="Arial"/>
              </w:rPr>
              <w:t xml:space="preserve">ear 2019 was </w:t>
            </w:r>
            <w:r w:rsidRPr="009A2F34">
              <w:rPr>
                <w:rFonts w:ascii="Arial" w:hAnsi="Arial" w:cs="Arial"/>
                <w:color w:val="000000"/>
              </w:rPr>
              <w:t>$1,195,464.57</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lastRenderedPageBreak/>
              <w:t>Q45</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after="0"/>
              <w:jc w:val="both"/>
              <w:rPr>
                <w:rFonts w:ascii="Arial" w:hAnsi="Arial" w:cs="Arial"/>
                <w:lang w:val="en-IN"/>
              </w:rPr>
            </w:pPr>
            <w:r w:rsidRPr="009A2F34">
              <w:rPr>
                <w:rFonts w:ascii="Arial" w:hAnsi="Arial" w:cs="Arial"/>
                <w:lang w:val="en-IN"/>
              </w:rPr>
              <w:t xml:space="preserve">If it is an ongoing project, is the existing contract with one or multiple Vendors? </w:t>
            </w:r>
          </w:p>
          <w:p w:rsidR="004F627E" w:rsidRPr="009A2F34" w:rsidRDefault="004F627E" w:rsidP="001236AA">
            <w:pPr>
              <w:spacing w:after="0"/>
              <w:jc w:val="both"/>
              <w:rPr>
                <w:rFonts w:ascii="Arial" w:hAnsi="Arial" w:cs="Arial"/>
                <w:lang w:val="en-IN"/>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Multiple</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Q46</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after="0"/>
              <w:jc w:val="both"/>
              <w:rPr>
                <w:rFonts w:ascii="Arial" w:hAnsi="Arial" w:cs="Arial"/>
                <w:lang w:val="en-IN"/>
              </w:rPr>
            </w:pPr>
            <w:r w:rsidRPr="009A2F34">
              <w:rPr>
                <w:rFonts w:ascii="Arial" w:hAnsi="Arial" w:cs="Arial"/>
                <w:lang w:val="en-IN"/>
              </w:rPr>
              <w:t xml:space="preserve">Who are the existing vendors? </w:t>
            </w:r>
          </w:p>
          <w:p w:rsidR="004F627E" w:rsidRPr="009A2F34" w:rsidRDefault="004F627E" w:rsidP="001236AA">
            <w:pPr>
              <w:spacing w:after="0"/>
              <w:jc w:val="both"/>
              <w:rPr>
                <w:rFonts w:ascii="Arial" w:hAnsi="Arial" w:cs="Arial"/>
                <w:lang w:val="en-IN"/>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See Q38 and Department Answer.</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Q47</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after="0"/>
              <w:jc w:val="both"/>
              <w:rPr>
                <w:rFonts w:ascii="Arial" w:hAnsi="Arial" w:cs="Arial"/>
                <w:lang w:val="en-IN"/>
              </w:rPr>
            </w:pPr>
            <w:r w:rsidRPr="009A2F34">
              <w:rPr>
                <w:rFonts w:ascii="Arial" w:hAnsi="Arial" w:cs="Arial"/>
                <w:lang w:val="en-IN"/>
              </w:rPr>
              <w:t xml:space="preserve">Is budget allocated for this project? </w:t>
            </w:r>
          </w:p>
          <w:p w:rsidR="004F627E" w:rsidRPr="009A2F34" w:rsidRDefault="004F627E" w:rsidP="001236AA">
            <w:pPr>
              <w:spacing w:after="0"/>
              <w:jc w:val="both"/>
              <w:rPr>
                <w:rFonts w:ascii="Arial" w:hAnsi="Arial" w:cs="Arial"/>
                <w:lang w:val="en-IN"/>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070033" w:rsidP="001236AA">
            <w:pPr>
              <w:jc w:val="both"/>
              <w:rPr>
                <w:rFonts w:ascii="Arial" w:hAnsi="Arial" w:cs="Arial"/>
              </w:rPr>
            </w:pPr>
            <w:r>
              <w:rPr>
                <w:rFonts w:ascii="Arial" w:hAnsi="Arial" w:cs="Arial"/>
              </w:rPr>
              <w:t>See Q40 and Department Answer.</w:t>
            </w:r>
          </w:p>
        </w:tc>
      </w:tr>
      <w:tr w:rsidR="004F627E" w:rsidRPr="009A2F34" w:rsidTr="001236A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Q4</w:t>
            </w:r>
            <w:r w:rsidR="006F3892" w:rsidRPr="009A2F34">
              <w:rPr>
                <w:rFonts w:ascii="Arial" w:hAnsi="Arial" w:cs="Arial"/>
              </w:rPr>
              <w:t>8</w:t>
            </w:r>
            <w:r w:rsidRPr="009A2F34">
              <w:rPr>
                <w:rFonts w:ascii="Arial" w:hAnsi="Arial" w:cs="Arial"/>
              </w:rPr>
              <w:t xml:space="preserve"> </w:t>
            </w:r>
          </w:p>
        </w:tc>
        <w:tc>
          <w:tcPr>
            <w:tcW w:w="16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spacing w:after="0"/>
              <w:jc w:val="both"/>
              <w:rPr>
                <w:rFonts w:ascii="Arial" w:hAnsi="Arial" w:cs="Arial"/>
                <w:lang w:val="en-IN"/>
              </w:rPr>
            </w:pPr>
            <w:r w:rsidRPr="009A2F34">
              <w:rPr>
                <w:rFonts w:ascii="Arial" w:hAnsi="Arial" w:cs="Arial"/>
                <w:lang w:val="en-IN"/>
              </w:rPr>
              <w:t xml:space="preserve">Please specify as to what was the total annual budget for State of Wisconsin’s temporary staffing for the year 2017, 2018 and 2019. </w:t>
            </w:r>
          </w:p>
          <w:p w:rsidR="004F627E" w:rsidRPr="009A2F34" w:rsidRDefault="004F627E" w:rsidP="001236AA">
            <w:pPr>
              <w:spacing w:after="0"/>
              <w:jc w:val="both"/>
              <w:rPr>
                <w:rFonts w:ascii="Arial" w:hAnsi="Arial" w:cs="Arial"/>
                <w:lang w:val="en-IN"/>
              </w:rPr>
            </w:pPr>
          </w:p>
        </w:tc>
        <w:tc>
          <w:tcPr>
            <w:tcW w:w="2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F036A2" w:rsidP="001236AA">
            <w:pPr>
              <w:jc w:val="both"/>
              <w:rPr>
                <w:rFonts w:ascii="Arial" w:hAnsi="Arial" w:cs="Arial"/>
              </w:rPr>
            </w:pPr>
            <w:r w:rsidRPr="009A2F34">
              <w:rPr>
                <w:rFonts w:ascii="Arial" w:hAnsi="Arial" w:cs="Arial"/>
              </w:rPr>
              <w:t xml:space="preserve">Here are spend figures for past calendar years. </w:t>
            </w:r>
            <w:r w:rsidR="00527D7F" w:rsidRPr="009A2F34">
              <w:rPr>
                <w:rFonts w:ascii="Arial" w:hAnsi="Arial" w:cs="Arial"/>
              </w:rPr>
              <w:t xml:space="preserve">Note 2020 is not complete yet. </w:t>
            </w:r>
          </w:p>
          <w:tbl>
            <w:tblPr>
              <w:tblW w:w="3960" w:type="dxa"/>
              <w:tblLook w:val="04A0" w:firstRow="1" w:lastRow="0" w:firstColumn="1" w:lastColumn="0" w:noHBand="0" w:noVBand="1"/>
            </w:tblPr>
            <w:tblGrid>
              <w:gridCol w:w="1420"/>
              <w:gridCol w:w="2540"/>
            </w:tblGrid>
            <w:tr w:rsidR="00F036A2" w:rsidRPr="00F036A2" w:rsidTr="00F036A2">
              <w:trPr>
                <w:trHeight w:val="290"/>
              </w:trPr>
              <w:tc>
                <w:tcPr>
                  <w:tcW w:w="142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rPr>
                      <w:rFonts w:ascii="Calibri" w:hAnsi="Calibri" w:cs="Calibri"/>
                      <w:b/>
                      <w:bCs/>
                      <w:color w:val="000000"/>
                    </w:rPr>
                  </w:pPr>
                  <w:r w:rsidRPr="00F036A2">
                    <w:rPr>
                      <w:rFonts w:ascii="Calibri" w:hAnsi="Calibri" w:cs="Calibri"/>
                      <w:b/>
                      <w:bCs/>
                      <w:color w:val="000000"/>
                    </w:rPr>
                    <w:t>2016</w:t>
                  </w:r>
                </w:p>
              </w:tc>
              <w:tc>
                <w:tcPr>
                  <w:tcW w:w="254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jc w:val="right"/>
                    <w:rPr>
                      <w:rFonts w:ascii="Calibri" w:hAnsi="Calibri" w:cs="Calibri"/>
                      <w:b/>
                      <w:bCs/>
                      <w:color w:val="000000"/>
                    </w:rPr>
                  </w:pPr>
                  <w:r w:rsidRPr="00F036A2">
                    <w:rPr>
                      <w:rFonts w:ascii="Calibri" w:hAnsi="Calibri" w:cs="Calibri"/>
                      <w:b/>
                      <w:bCs/>
                      <w:color w:val="000000"/>
                    </w:rPr>
                    <w:t>41,683.49</w:t>
                  </w:r>
                </w:p>
              </w:tc>
            </w:tr>
            <w:tr w:rsidR="00F036A2" w:rsidRPr="00F036A2" w:rsidTr="00F036A2">
              <w:trPr>
                <w:trHeight w:val="290"/>
              </w:trPr>
              <w:tc>
                <w:tcPr>
                  <w:tcW w:w="142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rPr>
                      <w:rFonts w:ascii="Calibri" w:hAnsi="Calibri" w:cs="Calibri"/>
                      <w:b/>
                      <w:bCs/>
                      <w:color w:val="000000"/>
                    </w:rPr>
                  </w:pPr>
                  <w:r w:rsidRPr="00F036A2">
                    <w:rPr>
                      <w:rFonts w:ascii="Calibri" w:hAnsi="Calibri" w:cs="Calibri"/>
                      <w:b/>
                      <w:bCs/>
                      <w:color w:val="000000"/>
                    </w:rPr>
                    <w:t>2017</w:t>
                  </w:r>
                </w:p>
              </w:tc>
              <w:tc>
                <w:tcPr>
                  <w:tcW w:w="254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jc w:val="right"/>
                    <w:rPr>
                      <w:rFonts w:ascii="Calibri" w:hAnsi="Calibri" w:cs="Calibri"/>
                      <w:b/>
                      <w:bCs/>
                      <w:color w:val="000000"/>
                    </w:rPr>
                  </w:pPr>
                  <w:r w:rsidRPr="00F036A2">
                    <w:rPr>
                      <w:rFonts w:ascii="Calibri" w:hAnsi="Calibri" w:cs="Calibri"/>
                      <w:b/>
                      <w:bCs/>
                      <w:color w:val="000000"/>
                    </w:rPr>
                    <w:t>366,617.56</w:t>
                  </w:r>
                </w:p>
              </w:tc>
            </w:tr>
            <w:tr w:rsidR="00F036A2" w:rsidRPr="00F036A2" w:rsidTr="00F036A2">
              <w:trPr>
                <w:trHeight w:val="290"/>
              </w:trPr>
              <w:tc>
                <w:tcPr>
                  <w:tcW w:w="142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rPr>
                      <w:rFonts w:ascii="Calibri" w:hAnsi="Calibri" w:cs="Calibri"/>
                      <w:b/>
                      <w:bCs/>
                      <w:color w:val="000000"/>
                    </w:rPr>
                  </w:pPr>
                  <w:r w:rsidRPr="00F036A2">
                    <w:rPr>
                      <w:rFonts w:ascii="Calibri" w:hAnsi="Calibri" w:cs="Calibri"/>
                      <w:b/>
                      <w:bCs/>
                      <w:color w:val="000000"/>
                    </w:rPr>
                    <w:t>2018</w:t>
                  </w:r>
                </w:p>
              </w:tc>
              <w:tc>
                <w:tcPr>
                  <w:tcW w:w="254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jc w:val="right"/>
                    <w:rPr>
                      <w:rFonts w:ascii="Calibri" w:hAnsi="Calibri" w:cs="Calibri"/>
                      <w:b/>
                      <w:bCs/>
                      <w:color w:val="000000"/>
                    </w:rPr>
                  </w:pPr>
                  <w:r w:rsidRPr="00F036A2">
                    <w:rPr>
                      <w:rFonts w:ascii="Calibri" w:hAnsi="Calibri" w:cs="Calibri"/>
                      <w:b/>
                      <w:bCs/>
                      <w:color w:val="000000"/>
                    </w:rPr>
                    <w:t>558,869.16</w:t>
                  </w:r>
                </w:p>
              </w:tc>
            </w:tr>
            <w:tr w:rsidR="00F036A2" w:rsidRPr="00F036A2" w:rsidTr="00F036A2">
              <w:trPr>
                <w:trHeight w:val="290"/>
              </w:trPr>
              <w:tc>
                <w:tcPr>
                  <w:tcW w:w="142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rPr>
                      <w:rFonts w:ascii="Calibri" w:hAnsi="Calibri" w:cs="Calibri"/>
                      <w:b/>
                      <w:bCs/>
                      <w:color w:val="000000"/>
                    </w:rPr>
                  </w:pPr>
                  <w:r w:rsidRPr="00F036A2">
                    <w:rPr>
                      <w:rFonts w:ascii="Calibri" w:hAnsi="Calibri" w:cs="Calibri"/>
                      <w:b/>
                      <w:bCs/>
                      <w:color w:val="000000"/>
                    </w:rPr>
                    <w:t>2019</w:t>
                  </w:r>
                </w:p>
              </w:tc>
              <w:tc>
                <w:tcPr>
                  <w:tcW w:w="254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jc w:val="right"/>
                    <w:rPr>
                      <w:rFonts w:ascii="Calibri" w:hAnsi="Calibri" w:cs="Calibri"/>
                      <w:b/>
                      <w:bCs/>
                      <w:color w:val="000000"/>
                    </w:rPr>
                  </w:pPr>
                  <w:r w:rsidRPr="00F036A2">
                    <w:rPr>
                      <w:rFonts w:ascii="Calibri" w:hAnsi="Calibri" w:cs="Calibri"/>
                      <w:b/>
                      <w:bCs/>
                      <w:color w:val="000000"/>
                    </w:rPr>
                    <w:t>1,195,464.57</w:t>
                  </w:r>
                </w:p>
              </w:tc>
            </w:tr>
            <w:tr w:rsidR="00F036A2" w:rsidRPr="00F036A2" w:rsidTr="00F036A2">
              <w:trPr>
                <w:trHeight w:val="290"/>
              </w:trPr>
              <w:tc>
                <w:tcPr>
                  <w:tcW w:w="142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rPr>
                      <w:rFonts w:ascii="Calibri" w:hAnsi="Calibri" w:cs="Calibri"/>
                      <w:b/>
                      <w:bCs/>
                      <w:color w:val="000000"/>
                    </w:rPr>
                  </w:pPr>
                  <w:r w:rsidRPr="00F036A2">
                    <w:rPr>
                      <w:rFonts w:ascii="Calibri" w:hAnsi="Calibri" w:cs="Calibri"/>
                      <w:b/>
                      <w:bCs/>
                      <w:color w:val="000000"/>
                    </w:rPr>
                    <w:t>2020</w:t>
                  </w:r>
                </w:p>
              </w:tc>
              <w:tc>
                <w:tcPr>
                  <w:tcW w:w="2540" w:type="dxa"/>
                  <w:tcBorders>
                    <w:top w:val="nil"/>
                    <w:left w:val="nil"/>
                    <w:bottom w:val="single" w:sz="4" w:space="0" w:color="8EA9DB"/>
                    <w:right w:val="nil"/>
                  </w:tcBorders>
                  <w:shd w:val="clear" w:color="auto" w:fill="auto"/>
                  <w:noWrap/>
                  <w:vAlign w:val="bottom"/>
                  <w:hideMark/>
                </w:tcPr>
                <w:p w:rsidR="00F036A2" w:rsidRPr="00F036A2" w:rsidRDefault="00F036A2" w:rsidP="001236AA">
                  <w:pPr>
                    <w:spacing w:before="0" w:after="0"/>
                    <w:jc w:val="right"/>
                    <w:rPr>
                      <w:rFonts w:ascii="Calibri" w:hAnsi="Calibri" w:cs="Calibri"/>
                      <w:b/>
                      <w:bCs/>
                      <w:color w:val="000000"/>
                    </w:rPr>
                  </w:pPr>
                  <w:r w:rsidRPr="00F036A2">
                    <w:rPr>
                      <w:rFonts w:ascii="Calibri" w:hAnsi="Calibri" w:cs="Calibri"/>
                      <w:b/>
                      <w:bCs/>
                      <w:color w:val="000000"/>
                    </w:rPr>
                    <w:t>415,074.14</w:t>
                  </w:r>
                </w:p>
              </w:tc>
            </w:tr>
            <w:tr w:rsidR="00F036A2" w:rsidRPr="00F036A2" w:rsidTr="00F036A2">
              <w:trPr>
                <w:trHeight w:val="290"/>
              </w:trPr>
              <w:tc>
                <w:tcPr>
                  <w:tcW w:w="1420" w:type="dxa"/>
                  <w:tcBorders>
                    <w:top w:val="single" w:sz="4" w:space="0" w:color="8EA9DB"/>
                    <w:left w:val="nil"/>
                    <w:bottom w:val="nil"/>
                    <w:right w:val="nil"/>
                  </w:tcBorders>
                  <w:shd w:val="clear" w:color="D9E1F2" w:fill="D9E1F2"/>
                  <w:noWrap/>
                  <w:vAlign w:val="bottom"/>
                  <w:hideMark/>
                </w:tcPr>
                <w:p w:rsidR="00F036A2" w:rsidRPr="00F036A2" w:rsidRDefault="00F036A2" w:rsidP="001236AA">
                  <w:pPr>
                    <w:spacing w:before="0" w:after="0"/>
                    <w:rPr>
                      <w:rFonts w:ascii="Calibri" w:hAnsi="Calibri" w:cs="Calibri"/>
                      <w:b/>
                      <w:bCs/>
                      <w:color w:val="000000"/>
                    </w:rPr>
                  </w:pPr>
                  <w:r w:rsidRPr="00F036A2">
                    <w:rPr>
                      <w:rFonts w:ascii="Calibri" w:hAnsi="Calibri" w:cs="Calibri"/>
                      <w:b/>
                      <w:bCs/>
                      <w:color w:val="000000"/>
                    </w:rPr>
                    <w:t>Grand Total</w:t>
                  </w:r>
                </w:p>
              </w:tc>
              <w:tc>
                <w:tcPr>
                  <w:tcW w:w="2540" w:type="dxa"/>
                  <w:tcBorders>
                    <w:top w:val="single" w:sz="4" w:space="0" w:color="8EA9DB"/>
                    <w:left w:val="nil"/>
                    <w:bottom w:val="nil"/>
                    <w:right w:val="nil"/>
                  </w:tcBorders>
                  <w:shd w:val="clear" w:color="D9E1F2" w:fill="D9E1F2"/>
                  <w:noWrap/>
                  <w:vAlign w:val="bottom"/>
                  <w:hideMark/>
                </w:tcPr>
                <w:p w:rsidR="00F036A2" w:rsidRPr="00F036A2" w:rsidRDefault="00F036A2" w:rsidP="001236AA">
                  <w:pPr>
                    <w:spacing w:before="0" w:after="0"/>
                    <w:jc w:val="right"/>
                    <w:rPr>
                      <w:rFonts w:ascii="Calibri" w:hAnsi="Calibri" w:cs="Calibri"/>
                      <w:b/>
                      <w:bCs/>
                      <w:color w:val="000000"/>
                    </w:rPr>
                  </w:pPr>
                  <w:r w:rsidRPr="00F036A2">
                    <w:rPr>
                      <w:rFonts w:ascii="Calibri" w:hAnsi="Calibri" w:cs="Calibri"/>
                      <w:b/>
                      <w:bCs/>
                      <w:color w:val="000000"/>
                    </w:rPr>
                    <w:t>2,577,708.92</w:t>
                  </w:r>
                </w:p>
              </w:tc>
            </w:tr>
          </w:tbl>
          <w:p w:rsidR="00F036A2" w:rsidRPr="009A2F34" w:rsidRDefault="00F036A2" w:rsidP="001236AA">
            <w:pPr>
              <w:jc w:val="both"/>
              <w:rPr>
                <w:rFonts w:ascii="Arial" w:hAnsi="Arial" w:cs="Arial"/>
              </w:rPr>
            </w:pPr>
          </w:p>
        </w:tc>
      </w:tr>
    </w:tbl>
    <w:p w:rsidR="00B21510" w:rsidRPr="009A2F34" w:rsidRDefault="00B21510" w:rsidP="001236AA"/>
    <w:tbl>
      <w:tblPr>
        <w:tblW w:w="9360" w:type="dxa"/>
        <w:shd w:val="clear" w:color="auto" w:fill="BDD6EE" w:themeFill="accent5" w:themeFillTint="66"/>
        <w:tblLook w:val="04A0" w:firstRow="1" w:lastRow="0" w:firstColumn="1" w:lastColumn="0" w:noHBand="0" w:noVBand="1"/>
      </w:tblPr>
      <w:tblGrid>
        <w:gridCol w:w="632"/>
        <w:gridCol w:w="1656"/>
        <w:gridCol w:w="1250"/>
        <w:gridCol w:w="3400"/>
        <w:gridCol w:w="2422"/>
      </w:tblGrid>
      <w:tr w:rsidR="00B21510" w:rsidRPr="009A2F34" w:rsidTr="00E17C62">
        <w:tc>
          <w:tcPr>
            <w:tcW w:w="58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Q</w:t>
            </w:r>
            <w:r w:rsidR="004F627E" w:rsidRPr="009A2F34">
              <w:rPr>
                <w:rFonts w:ascii="Arial" w:hAnsi="Arial" w:cs="Arial"/>
              </w:rPr>
              <w:t>4</w:t>
            </w:r>
            <w:r w:rsidR="006F3892" w:rsidRPr="009A2F34">
              <w:rPr>
                <w:rFonts w:ascii="Arial" w:hAnsi="Arial" w:cs="Arial"/>
              </w:rPr>
              <w:t>9</w:t>
            </w:r>
          </w:p>
        </w:tc>
        <w:tc>
          <w:tcPr>
            <w:tcW w:w="166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Appendix 3</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Do we have to subcontract as we are asked to provide Subcontractors information in Appendix 3?</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EC0B99" w:rsidP="001236AA">
            <w:pPr>
              <w:jc w:val="both"/>
              <w:rPr>
                <w:rFonts w:ascii="Arial" w:hAnsi="Arial" w:cs="Arial"/>
              </w:rPr>
            </w:pPr>
            <w:r w:rsidRPr="009A2F34">
              <w:rPr>
                <w:rFonts w:ascii="Arial" w:hAnsi="Arial" w:cs="Arial"/>
              </w:rPr>
              <w:t xml:space="preserve">No. </w:t>
            </w:r>
            <w:r w:rsidR="00903AF0" w:rsidRPr="009A2F34">
              <w:rPr>
                <w:rFonts w:ascii="Arial" w:hAnsi="Arial" w:cs="Arial"/>
              </w:rPr>
              <w:t xml:space="preserve">In addition to subcontractors, </w:t>
            </w:r>
            <w:r w:rsidRPr="009A2F34">
              <w:rPr>
                <w:rFonts w:ascii="Arial" w:hAnsi="Arial" w:cs="Arial"/>
              </w:rPr>
              <w:t xml:space="preserve">Appendix 3 is also where you list everyone who authored the proposal. </w:t>
            </w:r>
          </w:p>
        </w:tc>
      </w:tr>
      <w:tr w:rsidR="00B21510" w:rsidRPr="009A2F34" w:rsidTr="00E17C62">
        <w:tc>
          <w:tcPr>
            <w:tcW w:w="58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Q</w:t>
            </w:r>
            <w:r w:rsidR="006F3892" w:rsidRPr="009A2F34">
              <w:rPr>
                <w:rFonts w:ascii="Arial" w:hAnsi="Arial" w:cs="Arial"/>
              </w:rPr>
              <w:t>50</w:t>
            </w:r>
          </w:p>
        </w:tc>
        <w:tc>
          <w:tcPr>
            <w:tcW w:w="166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Appendix 2</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4</w:t>
            </w: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In Appendix 2, question 6 Proposer Identification we do not have any required certification. Do we have to subcontract to meet the preference?</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AA6776" w:rsidP="001236AA">
            <w:pPr>
              <w:jc w:val="both"/>
              <w:rPr>
                <w:rFonts w:ascii="Arial" w:hAnsi="Arial" w:cs="Arial"/>
              </w:rPr>
            </w:pPr>
            <w:r w:rsidRPr="009A2F34">
              <w:rPr>
                <w:rFonts w:ascii="Arial" w:hAnsi="Arial" w:cs="Arial"/>
              </w:rPr>
              <w:t xml:space="preserve">No. </w:t>
            </w:r>
          </w:p>
        </w:tc>
      </w:tr>
      <w:tr w:rsidR="00B21510" w:rsidRPr="009A2F34" w:rsidTr="004779DA">
        <w:tc>
          <w:tcPr>
            <w:tcW w:w="588" w:type="dxa"/>
            <w:tcBorders>
              <w:top w:val="single" w:sz="4" w:space="0" w:color="FFFFFF"/>
              <w:left w:val="single" w:sz="4" w:space="0" w:color="FFFFFF"/>
              <w:bottom w:val="single" w:sz="4" w:space="0" w:color="FFFFFF" w:themeColor="background1"/>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Q</w:t>
            </w:r>
            <w:r w:rsidR="00AA6776" w:rsidRPr="009A2F34">
              <w:rPr>
                <w:rFonts w:ascii="Arial" w:hAnsi="Arial" w:cs="Arial"/>
              </w:rPr>
              <w:t>5</w:t>
            </w:r>
            <w:r w:rsidR="006F3892" w:rsidRPr="009A2F34">
              <w:rPr>
                <w:rFonts w:ascii="Arial" w:hAnsi="Arial" w:cs="Arial"/>
              </w:rPr>
              <w:t>1</w:t>
            </w:r>
          </w:p>
        </w:tc>
        <w:tc>
          <w:tcPr>
            <w:tcW w:w="1662" w:type="dxa"/>
            <w:tcBorders>
              <w:top w:val="single" w:sz="4" w:space="0" w:color="FFFFFF"/>
              <w:left w:val="single" w:sz="4" w:space="0" w:color="FFFFFF"/>
              <w:bottom w:val="single" w:sz="4" w:space="0" w:color="FFFFFF" w:themeColor="background1"/>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Appendix 6</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3</w:t>
            </w: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 xml:space="preserve">Do we have </w:t>
            </w:r>
            <w:r w:rsidR="00070033">
              <w:rPr>
                <w:rFonts w:ascii="Arial" w:hAnsi="Arial" w:cs="Arial"/>
              </w:rPr>
              <w:t xml:space="preserve">to </w:t>
            </w:r>
            <w:r w:rsidRPr="009A2F34">
              <w:rPr>
                <w:rFonts w:ascii="Arial" w:hAnsi="Arial" w:cs="Arial"/>
              </w:rPr>
              <w:t>provide sample resumes as stated in Appendix 6 Ques</w:t>
            </w:r>
            <w:r w:rsidR="00070033">
              <w:rPr>
                <w:rFonts w:ascii="Arial" w:hAnsi="Arial" w:cs="Arial"/>
              </w:rPr>
              <w:t>tion</w:t>
            </w:r>
            <w:r w:rsidRPr="009A2F34">
              <w:rPr>
                <w:rFonts w:ascii="Arial" w:hAnsi="Arial" w:cs="Arial"/>
              </w:rPr>
              <w:t xml:space="preserve"> 6.6?</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AA6776" w:rsidP="001236AA">
            <w:pPr>
              <w:jc w:val="both"/>
              <w:rPr>
                <w:rFonts w:ascii="Arial" w:hAnsi="Arial" w:cs="Arial"/>
              </w:rPr>
            </w:pPr>
            <w:r w:rsidRPr="009A2F34">
              <w:rPr>
                <w:rFonts w:ascii="Arial" w:hAnsi="Arial" w:cs="Arial"/>
              </w:rPr>
              <w:t>Yes, if the proposer will use them during the process of helping ETF select a candidate to fill a position.</w:t>
            </w:r>
          </w:p>
        </w:tc>
      </w:tr>
      <w:tr w:rsidR="00B21510" w:rsidRPr="009A2F34" w:rsidTr="004779DA">
        <w:tc>
          <w:tcPr>
            <w:tcW w:w="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lastRenderedPageBreak/>
              <w:t>Q</w:t>
            </w:r>
            <w:r w:rsidR="00AA6776" w:rsidRPr="009A2F34">
              <w:rPr>
                <w:rFonts w:ascii="Arial" w:hAnsi="Arial" w:cs="Arial"/>
              </w:rPr>
              <w:t>5</w:t>
            </w:r>
            <w:r w:rsidR="006F3892" w:rsidRPr="009A2F34">
              <w:rPr>
                <w:rFonts w:ascii="Arial" w:hAnsi="Arial" w:cs="Arial"/>
              </w:rPr>
              <w:t>2</w:t>
            </w:r>
          </w:p>
        </w:tc>
        <w:tc>
          <w:tcPr>
            <w:tcW w:w="1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Is there any incumbent for this contract or is this for a new contract? If yes, can you please let us know the name of incumbent, their hourly rate and historical spend?</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B21510" w:rsidRPr="009A2F34" w:rsidRDefault="00AA6776" w:rsidP="001236AA">
            <w:pPr>
              <w:jc w:val="both"/>
              <w:rPr>
                <w:rFonts w:ascii="Arial" w:hAnsi="Arial" w:cs="Arial"/>
              </w:rPr>
            </w:pPr>
            <w:r w:rsidRPr="009A2F34">
              <w:rPr>
                <w:rFonts w:ascii="Arial" w:hAnsi="Arial" w:cs="Arial"/>
              </w:rPr>
              <w:t xml:space="preserve">See Q38 and Department Answer. See Q25 and Department Answer. See Q16 and Department Answer. </w:t>
            </w:r>
          </w:p>
        </w:tc>
      </w:tr>
      <w:tr w:rsidR="004F627E" w:rsidRPr="009A2F34" w:rsidTr="004779DA">
        <w:tc>
          <w:tcPr>
            <w:tcW w:w="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Q5</w:t>
            </w:r>
            <w:r w:rsidR="006F3892" w:rsidRPr="009A2F34">
              <w:rPr>
                <w:rFonts w:ascii="Arial" w:hAnsi="Arial" w:cs="Arial"/>
              </w:rPr>
              <w:t>3</w:t>
            </w:r>
          </w:p>
        </w:tc>
        <w:tc>
          <w:tcPr>
            <w:tcW w:w="1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4F627E" w:rsidRPr="009A2F34" w:rsidRDefault="004F627E" w:rsidP="001236AA">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Is budget allocated for this contract? If yes, can you please let us know the same?</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070033" w:rsidP="001236AA">
            <w:pPr>
              <w:jc w:val="both"/>
              <w:rPr>
                <w:rFonts w:ascii="Arial" w:hAnsi="Arial" w:cs="Arial"/>
              </w:rPr>
            </w:pPr>
            <w:r>
              <w:rPr>
                <w:rFonts w:ascii="Arial" w:hAnsi="Arial" w:cs="Arial"/>
              </w:rPr>
              <w:t>See Q40 and Department Answer.</w:t>
            </w:r>
          </w:p>
        </w:tc>
      </w:tr>
      <w:tr w:rsidR="004F627E" w:rsidRPr="009A2F34" w:rsidTr="004779DA">
        <w:tc>
          <w:tcPr>
            <w:tcW w:w="588" w:type="dxa"/>
            <w:tcBorders>
              <w:top w:val="single" w:sz="4" w:space="0" w:color="FFFFFF" w:themeColor="background1"/>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w:t>
            </w:r>
            <w:r w:rsidR="00C74A5B" w:rsidRPr="009A2F34">
              <w:rPr>
                <w:rFonts w:ascii="Arial" w:hAnsi="Arial" w:cs="Arial"/>
              </w:rPr>
              <w:t>5</w:t>
            </w:r>
            <w:r w:rsidR="006F3892" w:rsidRPr="009A2F34">
              <w:rPr>
                <w:rFonts w:ascii="Arial" w:hAnsi="Arial" w:cs="Arial"/>
              </w:rPr>
              <w:t>4</w:t>
            </w:r>
          </w:p>
        </w:tc>
        <w:tc>
          <w:tcPr>
            <w:tcW w:w="1662" w:type="dxa"/>
            <w:tcBorders>
              <w:top w:val="single" w:sz="4" w:space="0" w:color="FFFFFF" w:themeColor="background1"/>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Appendix 7</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Multiple positions have been listed under Long term assistant and long</w:t>
            </w:r>
            <w:r w:rsidR="00C74A5B" w:rsidRPr="009A2F34">
              <w:rPr>
                <w:rFonts w:ascii="Arial" w:hAnsi="Arial" w:cs="Arial"/>
              </w:rPr>
              <w:t>-</w:t>
            </w:r>
            <w:r w:rsidRPr="009A2F34">
              <w:rPr>
                <w:rFonts w:ascii="Arial" w:hAnsi="Arial" w:cs="Arial"/>
              </w:rPr>
              <w:t xml:space="preserve">term professional categories. As per appendix 8, we are required to provide single bill rate. Since multiple positions are covered under </w:t>
            </w:r>
            <w:proofErr w:type="gramStart"/>
            <w:r w:rsidRPr="009A2F34">
              <w:rPr>
                <w:rFonts w:ascii="Arial" w:hAnsi="Arial" w:cs="Arial"/>
              </w:rPr>
              <w:t>particular category</w:t>
            </w:r>
            <w:proofErr w:type="gramEnd"/>
            <w:r w:rsidR="00C74A5B" w:rsidRPr="009A2F34">
              <w:rPr>
                <w:rFonts w:ascii="Arial" w:hAnsi="Arial" w:cs="Arial"/>
              </w:rPr>
              <w:t>,</w:t>
            </w:r>
            <w:r w:rsidRPr="009A2F34">
              <w:rPr>
                <w:rFonts w:ascii="Arial" w:hAnsi="Arial" w:cs="Arial"/>
              </w:rPr>
              <w:t xml:space="preserve"> it would be difficult to provide a single rate as skill set are varying according to the position. Can we provide a bill rate range?</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C74A5B" w:rsidP="001236AA">
            <w:pPr>
              <w:jc w:val="both"/>
              <w:rPr>
                <w:rFonts w:ascii="Arial" w:hAnsi="Arial" w:cs="Arial"/>
              </w:rPr>
            </w:pPr>
            <w:r w:rsidRPr="009A2F34">
              <w:rPr>
                <w:rFonts w:ascii="Arial" w:hAnsi="Arial" w:cs="Arial"/>
              </w:rPr>
              <w:t>No. Appendix 8 – Cost Proposal calls for the Maximum Bill Rate for the whole Job Category. Do not provide a range. If any</w:t>
            </w:r>
            <w:r w:rsidR="009E4744">
              <w:rPr>
                <w:rFonts w:ascii="Arial" w:hAnsi="Arial" w:cs="Arial"/>
              </w:rPr>
              <w:t xml:space="preserve"> proposer</w:t>
            </w:r>
            <w:r w:rsidRPr="009A2F34">
              <w:rPr>
                <w:rFonts w:ascii="Arial" w:hAnsi="Arial" w:cs="Arial"/>
              </w:rPr>
              <w:t xml:space="preserve"> does this, the highest amount in any range provided will count for the cost score. </w:t>
            </w:r>
          </w:p>
        </w:tc>
      </w:tr>
    </w:tbl>
    <w:p w:rsidR="00B21510" w:rsidRPr="009A2F34" w:rsidRDefault="00B21510" w:rsidP="001236AA"/>
    <w:tbl>
      <w:tblPr>
        <w:tblW w:w="9360" w:type="dxa"/>
        <w:shd w:val="clear" w:color="auto" w:fill="BDD6EE" w:themeFill="accent5" w:themeFillTint="66"/>
        <w:tblLook w:val="04A0" w:firstRow="1" w:lastRow="0" w:firstColumn="1" w:lastColumn="0" w:noHBand="0" w:noVBand="1"/>
      </w:tblPr>
      <w:tblGrid>
        <w:gridCol w:w="632"/>
        <w:gridCol w:w="1657"/>
        <w:gridCol w:w="1250"/>
        <w:gridCol w:w="3399"/>
        <w:gridCol w:w="2422"/>
      </w:tblGrid>
      <w:tr w:rsidR="00B21510" w:rsidRPr="009A2F34" w:rsidTr="001236AA">
        <w:tc>
          <w:tcPr>
            <w:tcW w:w="588" w:type="dxa"/>
            <w:tcBorders>
              <w:bottom w:val="single" w:sz="4" w:space="0" w:color="FFFFFF"/>
              <w:right w:val="single" w:sz="4" w:space="0" w:color="FFFFFF"/>
            </w:tcBorders>
            <w:shd w:val="clear" w:color="auto" w:fill="BDD6EE" w:themeFill="accent5" w:themeFillTint="66"/>
          </w:tcPr>
          <w:p w:rsidR="00B21510" w:rsidRPr="009A2F34" w:rsidRDefault="00B21510" w:rsidP="001236AA">
            <w:pPr>
              <w:jc w:val="both"/>
              <w:rPr>
                <w:rFonts w:ascii="Arial" w:hAnsi="Arial" w:cs="Arial"/>
              </w:rPr>
            </w:pPr>
            <w:bookmarkStart w:id="7" w:name="_Hlk38843156"/>
            <w:r w:rsidRPr="009A2F34">
              <w:rPr>
                <w:rFonts w:ascii="Arial" w:hAnsi="Arial" w:cs="Arial"/>
              </w:rPr>
              <w:t>Q</w:t>
            </w:r>
            <w:r w:rsidR="00683BC6" w:rsidRPr="009A2F34">
              <w:rPr>
                <w:rFonts w:ascii="Arial" w:hAnsi="Arial" w:cs="Arial"/>
              </w:rPr>
              <w:t>5</w:t>
            </w:r>
            <w:r w:rsidR="006F3892" w:rsidRPr="009A2F34">
              <w:rPr>
                <w:rFonts w:ascii="Arial" w:hAnsi="Arial" w:cs="Arial"/>
              </w:rPr>
              <w:t>5</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Appendix 9</w:t>
            </w: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BDD6EE" w:themeFill="accent5" w:themeFillTint="66"/>
          </w:tcPr>
          <w:p w:rsidR="00B21510" w:rsidRPr="009A2F34" w:rsidRDefault="00B21510" w:rsidP="001236AA">
            <w:pPr>
              <w:jc w:val="both"/>
              <w:rPr>
                <w:rFonts w:ascii="Arial" w:hAnsi="Arial" w:cs="Arial"/>
              </w:rPr>
            </w:pPr>
          </w:p>
        </w:tc>
        <w:tc>
          <w:tcPr>
            <w:tcW w:w="3420" w:type="dxa"/>
            <w:tcBorders>
              <w:left w:val="single" w:sz="4" w:space="0" w:color="FFFFFF" w:themeColor="background1"/>
              <w:bottom w:val="single" w:sz="4" w:space="0" w:color="FFFFFF"/>
            </w:tcBorders>
            <w:shd w:val="clear" w:color="auto" w:fill="BDD6EE" w:themeFill="accent5" w:themeFillTint="66"/>
          </w:tcPr>
          <w:p w:rsidR="00B21510" w:rsidRPr="009A2F34" w:rsidRDefault="00B21510" w:rsidP="001236AA">
            <w:pPr>
              <w:jc w:val="both"/>
              <w:rPr>
                <w:rFonts w:ascii="Arial" w:hAnsi="Arial" w:cs="Arial"/>
              </w:rPr>
            </w:pPr>
            <w:r w:rsidRPr="009A2F34">
              <w:rPr>
                <w:rFonts w:ascii="Arial" w:hAnsi="Arial" w:cs="Arial"/>
              </w:rPr>
              <w:t>Is the State of Wisconsin ETF willing to accept a limitation on liability?</w:t>
            </w:r>
          </w:p>
        </w:tc>
        <w:tc>
          <w:tcPr>
            <w:tcW w:w="2430" w:type="dxa"/>
            <w:tcBorders>
              <w:left w:val="single" w:sz="4" w:space="0" w:color="FFFFFF" w:themeColor="background1"/>
              <w:bottom w:val="single" w:sz="4" w:space="0" w:color="FFFFFF"/>
            </w:tcBorders>
            <w:shd w:val="clear" w:color="auto" w:fill="BDD6EE" w:themeFill="accent5" w:themeFillTint="66"/>
          </w:tcPr>
          <w:p w:rsidR="00B21510" w:rsidRPr="009A2F34" w:rsidRDefault="00E4304B" w:rsidP="001236AA">
            <w:pPr>
              <w:jc w:val="both"/>
              <w:rPr>
                <w:rFonts w:ascii="Arial" w:hAnsi="Arial" w:cs="Arial"/>
              </w:rPr>
            </w:pPr>
            <w:r w:rsidRPr="009A2F34">
              <w:rPr>
                <w:rFonts w:ascii="Arial" w:hAnsi="Arial" w:cs="Arial"/>
                <w:color w:val="000000"/>
              </w:rPr>
              <w:t>ETF may be willing to negotiate any reasonable changes to limitations on liability. Proposers should include any assumptions or exceptions to terms not listed in Table 4 in their proposal’s Tab 3 for ETF’s consideration. ETF reserves the right to reject any changes.</w:t>
            </w:r>
          </w:p>
        </w:tc>
      </w:tr>
      <w:bookmarkEnd w:id="7"/>
    </w:tbl>
    <w:p w:rsidR="00B21510" w:rsidRPr="009A2F34" w:rsidRDefault="00B21510" w:rsidP="001236AA"/>
    <w:tbl>
      <w:tblPr>
        <w:tblW w:w="9940" w:type="dxa"/>
        <w:tblInd w:w="-285" w:type="dxa"/>
        <w:shd w:val="clear" w:color="auto" w:fill="BDD6EE" w:themeFill="accent5" w:themeFillTint="66"/>
        <w:tblLook w:val="04A0" w:firstRow="1" w:lastRow="0" w:firstColumn="1" w:lastColumn="0" w:noHBand="0" w:noVBand="1"/>
      </w:tblPr>
      <w:tblGrid>
        <w:gridCol w:w="632"/>
        <w:gridCol w:w="1764"/>
        <w:gridCol w:w="1337"/>
        <w:gridCol w:w="3628"/>
        <w:gridCol w:w="2579"/>
      </w:tblGrid>
      <w:tr w:rsidR="000144D6" w:rsidRPr="009A2F34" w:rsidTr="001236AA">
        <w:trPr>
          <w:trHeight w:val="809"/>
        </w:trPr>
        <w:tc>
          <w:tcPr>
            <w:tcW w:w="624" w:type="dxa"/>
            <w:tcBorders>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lastRenderedPageBreak/>
              <w:t>Q</w:t>
            </w:r>
            <w:r w:rsidR="005533E1" w:rsidRPr="009A2F34">
              <w:rPr>
                <w:rFonts w:ascii="Arial" w:hAnsi="Arial" w:cs="Arial"/>
              </w:rPr>
              <w:t>5</w:t>
            </w:r>
            <w:r w:rsidR="006F3892" w:rsidRPr="009A2F34">
              <w:rPr>
                <w:rFonts w:ascii="Arial" w:hAnsi="Arial" w:cs="Arial"/>
              </w:rPr>
              <w:t>6</w:t>
            </w:r>
          </w:p>
        </w:tc>
        <w:tc>
          <w:tcPr>
            <w:tcW w:w="176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Appendix 7</w:t>
            </w:r>
          </w:p>
        </w:tc>
        <w:tc>
          <w:tcPr>
            <w:tcW w:w="133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p>
        </w:tc>
        <w:tc>
          <w:tcPr>
            <w:tcW w:w="3632" w:type="dxa"/>
            <w:tcBorders>
              <w:left w:val="single" w:sz="4" w:space="0" w:color="FFFFFF"/>
              <w:bottom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Can you clarify that the contractor rates stated are the pay rates versus the vendor bill rates?</w:t>
            </w:r>
          </w:p>
        </w:tc>
        <w:tc>
          <w:tcPr>
            <w:tcW w:w="2581" w:type="dxa"/>
            <w:tcBorders>
              <w:left w:val="single" w:sz="4" w:space="0" w:color="FFFFFF"/>
              <w:bottom w:val="single" w:sz="4" w:space="0" w:color="FFFFFF"/>
            </w:tcBorders>
            <w:shd w:val="clear" w:color="auto" w:fill="BDD6EE" w:themeFill="accent5" w:themeFillTint="66"/>
          </w:tcPr>
          <w:p w:rsidR="000144D6" w:rsidRPr="009A2F34" w:rsidRDefault="005533E1" w:rsidP="001236AA">
            <w:pPr>
              <w:jc w:val="both"/>
              <w:rPr>
                <w:rFonts w:ascii="Arial" w:hAnsi="Arial" w:cs="Arial"/>
              </w:rPr>
            </w:pPr>
            <w:r w:rsidRPr="009A2F34">
              <w:rPr>
                <w:rFonts w:ascii="Arial" w:hAnsi="Arial" w:cs="Arial"/>
              </w:rPr>
              <w:t>See Q7 and Department Answer.</w:t>
            </w:r>
          </w:p>
        </w:tc>
      </w:tr>
      <w:tr w:rsidR="000144D6" w:rsidRPr="009A2F34" w:rsidTr="001236AA">
        <w:trPr>
          <w:trHeight w:val="899"/>
        </w:trPr>
        <w:tc>
          <w:tcPr>
            <w:tcW w:w="624" w:type="dxa"/>
            <w:tcBorders>
              <w:top w:val="single" w:sz="4" w:space="0" w:color="FFFFFF"/>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Q</w:t>
            </w:r>
            <w:r w:rsidR="005533E1" w:rsidRPr="009A2F34">
              <w:rPr>
                <w:rFonts w:ascii="Arial" w:hAnsi="Arial" w:cs="Arial"/>
              </w:rPr>
              <w:t>5</w:t>
            </w:r>
            <w:r w:rsidR="006F3892" w:rsidRPr="009A2F34">
              <w:rPr>
                <w:rFonts w:ascii="Arial" w:hAnsi="Arial" w:cs="Arial"/>
              </w:rPr>
              <w:t>7</w:t>
            </w:r>
          </w:p>
        </w:tc>
        <w:tc>
          <w:tcPr>
            <w:tcW w:w="176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Appendix 7</w:t>
            </w:r>
          </w:p>
        </w:tc>
        <w:tc>
          <w:tcPr>
            <w:tcW w:w="133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p>
        </w:tc>
        <w:tc>
          <w:tcPr>
            <w:tcW w:w="3632" w:type="dxa"/>
            <w:tcBorders>
              <w:top w:val="single" w:sz="4" w:space="0" w:color="FFFFFF"/>
              <w:left w:val="single" w:sz="4" w:space="0" w:color="FFFFFF"/>
              <w:bottom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Can you supply the annual spend from the contract?</w:t>
            </w:r>
          </w:p>
        </w:tc>
        <w:tc>
          <w:tcPr>
            <w:tcW w:w="2581" w:type="dxa"/>
            <w:tcBorders>
              <w:top w:val="single" w:sz="4" w:space="0" w:color="FFFFFF"/>
              <w:left w:val="single" w:sz="4" w:space="0" w:color="FFFFFF"/>
              <w:bottom w:val="single" w:sz="4" w:space="0" w:color="FFFFFF"/>
            </w:tcBorders>
            <w:shd w:val="clear" w:color="auto" w:fill="BDD6EE" w:themeFill="accent5" w:themeFillTint="66"/>
          </w:tcPr>
          <w:p w:rsidR="00527D7F" w:rsidRPr="009A2F34" w:rsidRDefault="00527D7F" w:rsidP="001236AA">
            <w:pPr>
              <w:jc w:val="both"/>
              <w:rPr>
                <w:rFonts w:ascii="Arial" w:hAnsi="Arial" w:cs="Arial"/>
                <w:color w:val="000000"/>
              </w:rPr>
            </w:pPr>
            <w:r w:rsidRPr="009A2F34">
              <w:rPr>
                <w:rFonts w:ascii="Arial" w:hAnsi="Arial" w:cs="Arial"/>
              </w:rPr>
              <w:t xml:space="preserve">Calendar </w:t>
            </w:r>
            <w:r w:rsidR="009E4744">
              <w:rPr>
                <w:rFonts w:ascii="Arial" w:hAnsi="Arial" w:cs="Arial"/>
              </w:rPr>
              <w:t>y</w:t>
            </w:r>
            <w:r w:rsidRPr="009A2F34">
              <w:rPr>
                <w:rFonts w:ascii="Arial" w:hAnsi="Arial" w:cs="Arial"/>
              </w:rPr>
              <w:t xml:space="preserve">ear 2019 was </w:t>
            </w:r>
            <w:r w:rsidRPr="009A2F34">
              <w:rPr>
                <w:rFonts w:ascii="Arial" w:hAnsi="Arial" w:cs="Arial"/>
                <w:color w:val="000000"/>
              </w:rPr>
              <w:t>$1,195,464.57.</w:t>
            </w:r>
          </w:p>
          <w:p w:rsidR="000144D6" w:rsidRPr="009A2F34" w:rsidRDefault="000144D6" w:rsidP="001236AA">
            <w:pPr>
              <w:jc w:val="both"/>
              <w:rPr>
                <w:rFonts w:ascii="Arial" w:hAnsi="Arial" w:cs="Arial"/>
              </w:rPr>
            </w:pPr>
          </w:p>
        </w:tc>
      </w:tr>
      <w:tr w:rsidR="000144D6" w:rsidRPr="009A2F34" w:rsidTr="001236AA">
        <w:trPr>
          <w:trHeight w:val="989"/>
        </w:trPr>
        <w:tc>
          <w:tcPr>
            <w:tcW w:w="624" w:type="dxa"/>
            <w:tcBorders>
              <w:top w:val="single" w:sz="4" w:space="0" w:color="FFFFFF"/>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Q</w:t>
            </w:r>
            <w:r w:rsidR="005533E1" w:rsidRPr="009A2F34">
              <w:rPr>
                <w:rFonts w:ascii="Arial" w:hAnsi="Arial" w:cs="Arial"/>
              </w:rPr>
              <w:t>5</w:t>
            </w:r>
            <w:r w:rsidR="006F3892" w:rsidRPr="009A2F34">
              <w:rPr>
                <w:rFonts w:ascii="Arial" w:hAnsi="Arial" w:cs="Arial"/>
              </w:rPr>
              <w:t>8</w:t>
            </w:r>
          </w:p>
        </w:tc>
        <w:tc>
          <w:tcPr>
            <w:tcW w:w="1765"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RFP Document</w:t>
            </w:r>
          </w:p>
        </w:tc>
        <w:tc>
          <w:tcPr>
            <w:tcW w:w="133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Pg. 12 and 16</w:t>
            </w:r>
          </w:p>
        </w:tc>
        <w:tc>
          <w:tcPr>
            <w:tcW w:w="3632" w:type="dxa"/>
            <w:tcBorders>
              <w:top w:val="single" w:sz="4" w:space="0" w:color="FFFFFF"/>
              <w:left w:val="single" w:sz="4" w:space="0" w:color="FFFFFF"/>
              <w:bottom w:val="single" w:sz="4" w:space="0" w:color="FFFFFF"/>
            </w:tcBorders>
            <w:shd w:val="clear" w:color="auto" w:fill="BDD6EE" w:themeFill="accent5" w:themeFillTint="66"/>
          </w:tcPr>
          <w:p w:rsidR="000144D6" w:rsidRPr="009A2F34" w:rsidRDefault="000144D6" w:rsidP="001236AA">
            <w:pPr>
              <w:jc w:val="both"/>
              <w:rPr>
                <w:rFonts w:ascii="Arial" w:hAnsi="Arial" w:cs="Arial"/>
              </w:rPr>
            </w:pPr>
            <w:r w:rsidRPr="009A2F34">
              <w:rPr>
                <w:rFonts w:ascii="Arial" w:hAnsi="Arial" w:cs="Arial"/>
              </w:rPr>
              <w:t>20 points are awarded based on response from job categories. Is the response required based on our experience in recruitment of those positions?</w:t>
            </w:r>
          </w:p>
        </w:tc>
        <w:tc>
          <w:tcPr>
            <w:tcW w:w="2581" w:type="dxa"/>
            <w:tcBorders>
              <w:top w:val="single" w:sz="4" w:space="0" w:color="FFFFFF"/>
              <w:left w:val="single" w:sz="4" w:space="0" w:color="FFFFFF"/>
              <w:bottom w:val="single" w:sz="4" w:space="0" w:color="FFFFFF"/>
            </w:tcBorders>
            <w:shd w:val="clear" w:color="auto" w:fill="BDD6EE" w:themeFill="accent5" w:themeFillTint="66"/>
          </w:tcPr>
          <w:p w:rsidR="000144D6" w:rsidRPr="009A2F34" w:rsidRDefault="005533E1" w:rsidP="001236AA">
            <w:pPr>
              <w:jc w:val="both"/>
              <w:rPr>
                <w:rFonts w:ascii="Arial" w:hAnsi="Arial" w:cs="Arial"/>
              </w:rPr>
            </w:pPr>
            <w:r w:rsidRPr="009A2F34">
              <w:rPr>
                <w:rFonts w:ascii="Arial" w:hAnsi="Arial" w:cs="Arial"/>
              </w:rPr>
              <w:t>Yes.</w:t>
            </w:r>
          </w:p>
        </w:tc>
      </w:tr>
    </w:tbl>
    <w:p w:rsidR="005B0D09" w:rsidRPr="009A2F34" w:rsidRDefault="005B0D09" w:rsidP="001236AA"/>
    <w:tbl>
      <w:tblPr>
        <w:tblStyle w:val="TableGrid"/>
        <w:tblW w:w="9900" w:type="dxa"/>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DD6EE" w:themeFill="accent5" w:themeFillTint="66"/>
        <w:tblLook w:val="04A0" w:firstRow="1" w:lastRow="0" w:firstColumn="1" w:lastColumn="0" w:noHBand="0" w:noVBand="1"/>
      </w:tblPr>
      <w:tblGrid>
        <w:gridCol w:w="907"/>
        <w:gridCol w:w="1841"/>
        <w:gridCol w:w="1809"/>
        <w:gridCol w:w="2504"/>
        <w:gridCol w:w="2839"/>
      </w:tblGrid>
      <w:tr w:rsidR="00E25EC6" w:rsidRPr="009A2F34" w:rsidTr="00E17C62">
        <w:tc>
          <w:tcPr>
            <w:tcW w:w="907"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t>Q59</w:t>
            </w:r>
          </w:p>
        </w:tc>
        <w:tc>
          <w:tcPr>
            <w:tcW w:w="1841"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t xml:space="preserve">4.10 </w:t>
            </w:r>
            <w:r w:rsidR="00E25EC6">
              <w:rPr>
                <w:rFonts w:ascii="Arial" w:hAnsi="Arial" w:cs="Arial"/>
              </w:rPr>
              <w:t>Notice of Personnel Leaving</w:t>
            </w:r>
          </w:p>
        </w:tc>
        <w:tc>
          <w:tcPr>
            <w:tcW w:w="1809"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t>20</w:t>
            </w:r>
          </w:p>
        </w:tc>
        <w:tc>
          <w:tcPr>
            <w:tcW w:w="2504" w:type="dxa"/>
            <w:shd w:val="clear" w:color="auto" w:fill="BDD6EE" w:themeFill="accent5" w:themeFillTint="66"/>
          </w:tcPr>
          <w:p w:rsidR="00E25EC6" w:rsidRPr="00DC2293" w:rsidRDefault="00E25EC6" w:rsidP="001236AA">
            <w:pPr>
              <w:rPr>
                <w:rFonts w:ascii="Arial" w:hAnsi="Arial" w:cs="Arial"/>
              </w:rPr>
            </w:pPr>
            <w:r>
              <w:rPr>
                <w:rFonts w:ascii="Arial" w:hAnsi="Arial" w:cs="Arial"/>
              </w:rPr>
              <w:t>Is there flexibility related to timeframe required to be provided at no cost?</w:t>
            </w:r>
          </w:p>
        </w:tc>
        <w:tc>
          <w:tcPr>
            <w:tcW w:w="2839" w:type="dxa"/>
            <w:shd w:val="clear" w:color="auto" w:fill="BDD6EE" w:themeFill="accent5" w:themeFillTint="66"/>
          </w:tcPr>
          <w:p w:rsidR="002F2962" w:rsidRPr="009A2F34" w:rsidRDefault="002F2962" w:rsidP="001236AA">
            <w:pPr>
              <w:pStyle w:val="LRWLBodyTextNumber1"/>
              <w:rPr>
                <w:rFonts w:cs="Arial"/>
                <w:sz w:val="22"/>
              </w:rPr>
            </w:pPr>
            <w:r w:rsidRPr="009A2F34">
              <w:rPr>
                <w:rFonts w:cs="Arial"/>
                <w:sz w:val="22"/>
              </w:rPr>
              <w:t>ETF is now withdrawing this term. The updated term reads:</w:t>
            </w:r>
          </w:p>
          <w:p w:rsidR="002F2962" w:rsidRPr="009A2F34" w:rsidRDefault="002F2962" w:rsidP="001236AA">
            <w:pPr>
              <w:pStyle w:val="LRWLBodyTextNumber1"/>
              <w:rPr>
                <w:rFonts w:cs="Arial"/>
                <w:b/>
                <w:bCs/>
                <w:sz w:val="22"/>
              </w:rPr>
            </w:pPr>
            <w:r w:rsidRPr="009A2F34">
              <w:rPr>
                <w:rFonts w:cs="Arial"/>
                <w:b/>
                <w:bCs/>
                <w:sz w:val="22"/>
              </w:rPr>
              <w:t>4.10 Notice of Personnel Leaving</w:t>
            </w:r>
          </w:p>
          <w:p w:rsidR="002F2962" w:rsidRPr="009A2F34" w:rsidRDefault="002F2962" w:rsidP="001236AA">
            <w:pPr>
              <w:pStyle w:val="LRWLBodyTextNumber1"/>
              <w:rPr>
                <w:rFonts w:cs="Arial"/>
                <w:sz w:val="22"/>
              </w:rPr>
            </w:pPr>
            <w:r w:rsidRPr="009A2F34">
              <w:rPr>
                <w:rFonts w:cs="Arial"/>
                <w:sz w:val="22"/>
              </w:rPr>
              <w:t>Should any of the staffing company’s workers leave before they complete required duties or the engagement end-date, staffing company will provide a written notice ten (10) working days in advance to ETF. ETF will determine if a replacement candidate is desired from the staffing company or if a new posting will be conducted allowing all staffing companies to participate.</w:t>
            </w:r>
          </w:p>
          <w:p w:rsidR="002F2962" w:rsidRPr="009A2F34" w:rsidRDefault="002F2962" w:rsidP="001236AA">
            <w:pPr>
              <w:jc w:val="both"/>
              <w:rPr>
                <w:rFonts w:ascii="Arial" w:hAnsi="Arial" w:cs="Arial"/>
              </w:rPr>
            </w:pPr>
            <w:r w:rsidRPr="009A2F34">
              <w:rPr>
                <w:rFonts w:ascii="Arial" w:hAnsi="Arial" w:cs="Arial"/>
              </w:rPr>
              <w:t xml:space="preserve"> </w:t>
            </w:r>
          </w:p>
        </w:tc>
      </w:tr>
      <w:tr w:rsidR="00E25EC6" w:rsidRPr="009A2F34" w:rsidTr="00E17C62">
        <w:tc>
          <w:tcPr>
            <w:tcW w:w="907"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t>Q60</w:t>
            </w:r>
          </w:p>
        </w:tc>
        <w:tc>
          <w:tcPr>
            <w:tcW w:w="1841"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t>4.19 C</w:t>
            </w:r>
            <w:r w:rsidR="00E25EC6">
              <w:rPr>
                <w:rFonts w:ascii="Arial" w:hAnsi="Arial" w:cs="Arial"/>
              </w:rPr>
              <w:t xml:space="preserve">orrecting Prior </w:t>
            </w:r>
            <w:r w:rsidR="00E25EC6">
              <w:rPr>
                <w:rFonts w:ascii="Arial" w:hAnsi="Arial" w:cs="Arial"/>
              </w:rPr>
              <w:lastRenderedPageBreak/>
              <w:t>Candidate’s Errors</w:t>
            </w:r>
          </w:p>
        </w:tc>
        <w:tc>
          <w:tcPr>
            <w:tcW w:w="1809"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lastRenderedPageBreak/>
              <w:t>21</w:t>
            </w:r>
          </w:p>
        </w:tc>
        <w:tc>
          <w:tcPr>
            <w:tcW w:w="2504" w:type="dxa"/>
            <w:shd w:val="clear" w:color="auto" w:fill="BDD6EE" w:themeFill="accent5" w:themeFillTint="66"/>
          </w:tcPr>
          <w:p w:rsidR="00E25EC6" w:rsidRPr="00DC2293" w:rsidRDefault="00E25EC6" w:rsidP="001236AA">
            <w:pPr>
              <w:rPr>
                <w:rFonts w:ascii="Arial" w:hAnsi="Arial" w:cs="Arial"/>
              </w:rPr>
            </w:pPr>
            <w:r>
              <w:rPr>
                <w:rFonts w:ascii="Arial" w:hAnsi="Arial" w:cs="Arial"/>
              </w:rPr>
              <w:t xml:space="preserve">Is there flexibility in the timeframe service </w:t>
            </w:r>
            <w:r>
              <w:rPr>
                <w:rFonts w:ascii="Arial" w:hAnsi="Arial" w:cs="Arial"/>
              </w:rPr>
              <w:lastRenderedPageBreak/>
              <w:t xml:space="preserve">would be required at no cost? </w:t>
            </w:r>
          </w:p>
        </w:tc>
        <w:tc>
          <w:tcPr>
            <w:tcW w:w="2839" w:type="dxa"/>
            <w:shd w:val="clear" w:color="auto" w:fill="BDD6EE" w:themeFill="accent5" w:themeFillTint="66"/>
          </w:tcPr>
          <w:p w:rsidR="002F2962" w:rsidRPr="00E974E6" w:rsidRDefault="00E974E6" w:rsidP="001236AA">
            <w:pPr>
              <w:rPr>
                <w:rFonts w:ascii="Arial" w:hAnsi="Arial" w:cs="Arial"/>
              </w:rPr>
            </w:pPr>
            <w:r w:rsidRPr="00E974E6">
              <w:rPr>
                <w:rFonts w:ascii="Arial" w:hAnsi="Arial" w:cs="Arial"/>
              </w:rPr>
              <w:lastRenderedPageBreak/>
              <w:t xml:space="preserve">The timeframe is “within forty-eight (48) hours after </w:t>
            </w:r>
            <w:r w:rsidRPr="00E974E6">
              <w:rPr>
                <w:rFonts w:ascii="Arial" w:hAnsi="Arial" w:cs="Arial"/>
              </w:rPr>
              <w:lastRenderedPageBreak/>
              <w:t>ETF gives the staffing company written notice of an error” until “ETF confirms the error is corrected.”</w:t>
            </w:r>
            <w:r>
              <w:rPr>
                <w:rFonts w:ascii="Arial" w:hAnsi="Arial" w:cs="Arial"/>
              </w:rPr>
              <w:t xml:space="preserve"> So, the actual amount of time ETF is receiving free services will depend on the circumstances. </w:t>
            </w:r>
          </w:p>
          <w:p w:rsidR="002F2962" w:rsidRPr="009A2F34" w:rsidRDefault="002F2962" w:rsidP="001236AA"/>
          <w:p w:rsidR="002F2962" w:rsidRPr="009A2F34" w:rsidRDefault="002F2962" w:rsidP="001236AA"/>
          <w:p w:rsidR="002F2962" w:rsidRPr="009A2F34" w:rsidRDefault="002F2962" w:rsidP="001236AA"/>
        </w:tc>
      </w:tr>
      <w:tr w:rsidR="00E25EC6" w:rsidRPr="009A2F34" w:rsidTr="00E17C62">
        <w:tc>
          <w:tcPr>
            <w:tcW w:w="907"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lastRenderedPageBreak/>
              <w:t>Q61</w:t>
            </w:r>
          </w:p>
        </w:tc>
        <w:tc>
          <w:tcPr>
            <w:tcW w:w="1841"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t xml:space="preserve">4.19 </w:t>
            </w:r>
            <w:r w:rsidR="00E25EC6" w:rsidRPr="00DC2293">
              <w:rPr>
                <w:rFonts w:ascii="Arial" w:hAnsi="Arial" w:cs="Arial"/>
              </w:rPr>
              <w:t>C</w:t>
            </w:r>
            <w:r w:rsidR="00E25EC6">
              <w:rPr>
                <w:rFonts w:ascii="Arial" w:hAnsi="Arial" w:cs="Arial"/>
              </w:rPr>
              <w:t>orrecting Prior Candidate’s Errors</w:t>
            </w:r>
          </w:p>
        </w:tc>
        <w:tc>
          <w:tcPr>
            <w:tcW w:w="1809" w:type="dxa"/>
            <w:shd w:val="clear" w:color="auto" w:fill="BDD6EE" w:themeFill="accent5" w:themeFillTint="66"/>
          </w:tcPr>
          <w:p w:rsidR="002F2962" w:rsidRPr="00DC2293" w:rsidRDefault="002F2962" w:rsidP="001236AA">
            <w:pPr>
              <w:rPr>
                <w:rFonts w:ascii="Arial" w:hAnsi="Arial" w:cs="Arial"/>
              </w:rPr>
            </w:pPr>
            <w:r w:rsidRPr="00DC2293">
              <w:rPr>
                <w:rFonts w:ascii="Arial" w:hAnsi="Arial" w:cs="Arial"/>
              </w:rPr>
              <w:t>21</w:t>
            </w:r>
          </w:p>
        </w:tc>
        <w:tc>
          <w:tcPr>
            <w:tcW w:w="2504" w:type="dxa"/>
            <w:shd w:val="clear" w:color="auto" w:fill="BDD6EE" w:themeFill="accent5" w:themeFillTint="66"/>
          </w:tcPr>
          <w:p w:rsidR="00E25EC6" w:rsidRDefault="00E25EC6" w:rsidP="001236AA">
            <w:pPr>
              <w:rPr>
                <w:rFonts w:ascii="Arial" w:hAnsi="Arial" w:cs="Arial"/>
              </w:rPr>
            </w:pPr>
            <w:r>
              <w:rPr>
                <w:rFonts w:ascii="Arial" w:hAnsi="Arial" w:cs="Arial"/>
              </w:rPr>
              <w:t>Will error and cause of error be further defined and/or considered?</w:t>
            </w:r>
          </w:p>
          <w:p w:rsidR="002F2962" w:rsidRPr="00DC2293" w:rsidRDefault="00E25EC6" w:rsidP="001236AA">
            <w:pPr>
              <w:rPr>
                <w:rFonts w:ascii="Arial" w:hAnsi="Arial" w:cs="Arial"/>
              </w:rPr>
            </w:pPr>
            <w:r>
              <w:rPr>
                <w:rFonts w:ascii="Arial" w:hAnsi="Arial" w:cs="Arial"/>
              </w:rPr>
              <w:t xml:space="preserve">Rationale: What if the error occurred due to initial training or circumstances outside of the employee’s control. </w:t>
            </w:r>
          </w:p>
        </w:tc>
        <w:tc>
          <w:tcPr>
            <w:tcW w:w="2839" w:type="dxa"/>
            <w:shd w:val="clear" w:color="auto" w:fill="BDD6EE" w:themeFill="accent5" w:themeFillTint="66"/>
          </w:tcPr>
          <w:p w:rsidR="002F2962" w:rsidRPr="00E974E6" w:rsidRDefault="002F2962" w:rsidP="001236AA">
            <w:pPr>
              <w:rPr>
                <w:rFonts w:ascii="Arial" w:hAnsi="Arial" w:cs="Arial"/>
              </w:rPr>
            </w:pPr>
            <w:r w:rsidRPr="00E974E6">
              <w:rPr>
                <w:rFonts w:ascii="Arial" w:hAnsi="Arial" w:cs="Arial"/>
              </w:rPr>
              <w:t xml:space="preserve">ETF’s assessment of the error will </w:t>
            </w:r>
            <w:proofErr w:type="gramStart"/>
            <w:r w:rsidRPr="00E974E6">
              <w:rPr>
                <w:rFonts w:ascii="Arial" w:hAnsi="Arial" w:cs="Arial"/>
              </w:rPr>
              <w:t>govern, but</w:t>
            </w:r>
            <w:proofErr w:type="gramEnd"/>
            <w:r w:rsidRPr="00E974E6">
              <w:rPr>
                <w:rFonts w:ascii="Arial" w:hAnsi="Arial" w:cs="Arial"/>
              </w:rPr>
              <w:t xml:space="preserve"> know that ETF has never invoked this clause.</w:t>
            </w:r>
            <w:r w:rsidR="00DC2293">
              <w:rPr>
                <w:rFonts w:ascii="Arial" w:hAnsi="Arial" w:cs="Arial"/>
              </w:rPr>
              <w:t xml:space="preserve"> It is there to ensure quality deliverables.</w:t>
            </w:r>
          </w:p>
        </w:tc>
      </w:tr>
    </w:tbl>
    <w:p w:rsidR="005B0D09" w:rsidRPr="009A2F34" w:rsidRDefault="005B0D09" w:rsidP="001236AA"/>
    <w:tbl>
      <w:tblPr>
        <w:tblW w:w="9900" w:type="dxa"/>
        <w:tblInd w:w="-270" w:type="dxa"/>
        <w:shd w:val="clear" w:color="auto" w:fill="BDD6EE" w:themeFill="accent5" w:themeFillTint="66"/>
        <w:tblLook w:val="04A0" w:firstRow="1" w:lastRow="0" w:firstColumn="1" w:lastColumn="0" w:noHBand="0" w:noVBand="1"/>
      </w:tblPr>
      <w:tblGrid>
        <w:gridCol w:w="902"/>
        <w:gridCol w:w="1657"/>
        <w:gridCol w:w="1251"/>
        <w:gridCol w:w="3403"/>
        <w:gridCol w:w="2687"/>
      </w:tblGrid>
      <w:tr w:rsidR="005B0D09" w:rsidRPr="009A2F34" w:rsidTr="00143A2C">
        <w:tc>
          <w:tcPr>
            <w:tcW w:w="902" w:type="dxa"/>
            <w:tcBorders>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jc w:val="both"/>
              <w:rPr>
                <w:rFonts w:ascii="Arial" w:hAnsi="Arial" w:cs="Arial"/>
              </w:rPr>
            </w:pPr>
            <w:r w:rsidRPr="009A2F34">
              <w:rPr>
                <w:rFonts w:ascii="Arial" w:hAnsi="Arial" w:cs="Arial"/>
              </w:rPr>
              <w:t>Q</w:t>
            </w:r>
            <w:r w:rsidR="008F3357" w:rsidRPr="009A2F34">
              <w:rPr>
                <w:rFonts w:ascii="Arial" w:hAnsi="Arial" w:cs="Arial"/>
              </w:rPr>
              <w:t>6</w:t>
            </w:r>
            <w:r w:rsidR="006F3892" w:rsidRPr="009A2F34">
              <w:rPr>
                <w:rFonts w:ascii="Arial" w:hAnsi="Arial" w:cs="Arial"/>
              </w:rPr>
              <w:t>2</w:t>
            </w:r>
          </w:p>
        </w:tc>
        <w:tc>
          <w:tcPr>
            <w:tcW w:w="1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Appendix 7 – Job Categories and Positions</w:t>
            </w:r>
          </w:p>
        </w:tc>
        <w:tc>
          <w:tcPr>
            <w:tcW w:w="1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1</w:t>
            </w:r>
          </w:p>
        </w:tc>
        <w:tc>
          <w:tcPr>
            <w:tcW w:w="3403" w:type="dxa"/>
            <w:tcBorders>
              <w:left w:val="single" w:sz="4" w:space="0" w:color="FFFFFF" w:themeColor="background1"/>
              <w:bottom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Please explain, are the current pay ranges provided representative of the pay rate to the worker (contractor), or the bill rate that the State paid to the vendor?</w:t>
            </w:r>
          </w:p>
        </w:tc>
        <w:tc>
          <w:tcPr>
            <w:tcW w:w="2687" w:type="dxa"/>
            <w:tcBorders>
              <w:left w:val="single" w:sz="4" w:space="0" w:color="FFFFFF" w:themeColor="background1"/>
              <w:bottom w:val="single" w:sz="4" w:space="0" w:color="FFFFFF" w:themeColor="background1"/>
            </w:tcBorders>
            <w:shd w:val="clear" w:color="auto" w:fill="BDD6EE" w:themeFill="accent5" w:themeFillTint="66"/>
          </w:tcPr>
          <w:p w:rsidR="005B0D09" w:rsidRPr="009A2F34" w:rsidRDefault="005533E1" w:rsidP="001236AA">
            <w:pPr>
              <w:rPr>
                <w:rFonts w:ascii="Arial" w:hAnsi="Arial" w:cs="Arial"/>
              </w:rPr>
            </w:pPr>
            <w:r w:rsidRPr="009A2F34">
              <w:rPr>
                <w:rFonts w:ascii="Arial" w:hAnsi="Arial" w:cs="Arial"/>
              </w:rPr>
              <w:t>See Q7 and Department Answer.</w:t>
            </w:r>
          </w:p>
        </w:tc>
      </w:tr>
      <w:tr w:rsidR="005B0D09" w:rsidRPr="009A2F34" w:rsidTr="00143A2C">
        <w:tc>
          <w:tcPr>
            <w:tcW w:w="902" w:type="dxa"/>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jc w:val="both"/>
              <w:rPr>
                <w:rFonts w:ascii="Arial" w:hAnsi="Arial" w:cs="Arial"/>
              </w:rPr>
            </w:pPr>
            <w:r w:rsidRPr="009A2F34">
              <w:rPr>
                <w:rFonts w:ascii="Arial" w:hAnsi="Arial" w:cs="Arial"/>
              </w:rPr>
              <w:t>Q</w:t>
            </w:r>
            <w:r w:rsidR="008F3357" w:rsidRPr="009A2F34">
              <w:rPr>
                <w:rFonts w:ascii="Arial" w:hAnsi="Arial" w:cs="Arial"/>
              </w:rPr>
              <w:t>6</w:t>
            </w:r>
            <w:r w:rsidR="006F3892" w:rsidRPr="009A2F34">
              <w:rPr>
                <w:rFonts w:ascii="Arial" w:hAnsi="Arial" w:cs="Arial"/>
              </w:rPr>
              <w:t>3</w:t>
            </w:r>
          </w:p>
        </w:tc>
        <w:tc>
          <w:tcPr>
            <w:tcW w:w="1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Appendix 12 – Vendor Scorecard</w:t>
            </w:r>
          </w:p>
        </w:tc>
        <w:tc>
          <w:tcPr>
            <w:tcW w:w="1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N/A</w:t>
            </w:r>
          </w:p>
        </w:tc>
        <w:tc>
          <w:tcPr>
            <w:tcW w:w="3403"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Please explain the frequency and process for evaluating vendors with the scorecard. Are there any consequences if a vendor does not meet all goals/metrics over a given time period?</w:t>
            </w:r>
          </w:p>
        </w:tc>
        <w:tc>
          <w:tcPr>
            <w:tcW w:w="2687"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5B0D09" w:rsidRPr="009A2F34" w:rsidRDefault="008F3357" w:rsidP="001236AA">
            <w:pPr>
              <w:rPr>
                <w:rFonts w:ascii="Arial" w:hAnsi="Arial" w:cs="Arial"/>
              </w:rPr>
            </w:pPr>
            <w:r w:rsidRPr="009A2F34">
              <w:rPr>
                <w:rFonts w:ascii="Arial" w:hAnsi="Arial" w:cs="Arial"/>
              </w:rPr>
              <w:t xml:space="preserve">See </w:t>
            </w:r>
            <w:r w:rsidRPr="003E3ADB">
              <w:rPr>
                <w:rFonts w:ascii="Arial" w:hAnsi="Arial" w:cs="Arial"/>
                <w:b/>
                <w:bCs/>
              </w:rPr>
              <w:t>4.26 Vendor Scorecard</w:t>
            </w:r>
          </w:p>
        </w:tc>
      </w:tr>
      <w:tr w:rsidR="005B0D09" w:rsidRPr="009A2F34" w:rsidTr="00143A2C">
        <w:tc>
          <w:tcPr>
            <w:tcW w:w="902" w:type="dxa"/>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jc w:val="both"/>
              <w:rPr>
                <w:rFonts w:ascii="Arial" w:hAnsi="Arial" w:cs="Arial"/>
              </w:rPr>
            </w:pPr>
            <w:r w:rsidRPr="009A2F34">
              <w:rPr>
                <w:rFonts w:ascii="Arial" w:hAnsi="Arial" w:cs="Arial"/>
              </w:rPr>
              <w:t>Q</w:t>
            </w:r>
            <w:r w:rsidR="00236A6F" w:rsidRPr="009A2F34">
              <w:rPr>
                <w:rFonts w:ascii="Arial" w:hAnsi="Arial" w:cs="Arial"/>
              </w:rPr>
              <w:t>6</w:t>
            </w:r>
            <w:r w:rsidR="006F3892" w:rsidRPr="009A2F34">
              <w:rPr>
                <w:rFonts w:ascii="Arial" w:hAnsi="Arial" w:cs="Arial"/>
              </w:rPr>
              <w:t>4</w:t>
            </w:r>
          </w:p>
        </w:tc>
        <w:tc>
          <w:tcPr>
            <w:tcW w:w="1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 xml:space="preserve">Appendix 7 – Job </w:t>
            </w:r>
            <w:r w:rsidRPr="009A2F34">
              <w:rPr>
                <w:rFonts w:ascii="Arial" w:hAnsi="Arial" w:cs="Arial"/>
              </w:rPr>
              <w:lastRenderedPageBreak/>
              <w:t>Categories and Positions</w:t>
            </w:r>
          </w:p>
        </w:tc>
        <w:tc>
          <w:tcPr>
            <w:tcW w:w="1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lastRenderedPageBreak/>
              <w:t>1</w:t>
            </w:r>
          </w:p>
        </w:tc>
        <w:tc>
          <w:tcPr>
            <w:tcW w:w="3403"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 xml:space="preserve">Of the 60 listed positions, how many are new positions and </w:t>
            </w:r>
            <w:r w:rsidRPr="009A2F34">
              <w:rPr>
                <w:rFonts w:ascii="Arial" w:hAnsi="Arial" w:cs="Arial"/>
              </w:rPr>
              <w:lastRenderedPageBreak/>
              <w:t>how many will only be open if there is a need for a backfill?</w:t>
            </w:r>
          </w:p>
        </w:tc>
        <w:tc>
          <w:tcPr>
            <w:tcW w:w="2687"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5B0D09" w:rsidRPr="009A2F34" w:rsidRDefault="008F3357" w:rsidP="001236AA">
            <w:pPr>
              <w:rPr>
                <w:rFonts w:ascii="Arial" w:hAnsi="Arial" w:cs="Arial"/>
              </w:rPr>
            </w:pPr>
            <w:r w:rsidRPr="009A2F34">
              <w:rPr>
                <w:rFonts w:ascii="Arial" w:hAnsi="Arial" w:cs="Arial"/>
              </w:rPr>
              <w:lastRenderedPageBreak/>
              <w:t xml:space="preserve">The 60 positions represent what was filled historically over the life of </w:t>
            </w:r>
            <w:r w:rsidRPr="009A2F34">
              <w:rPr>
                <w:rFonts w:ascii="Arial" w:hAnsi="Arial" w:cs="Arial"/>
              </w:rPr>
              <w:lastRenderedPageBreak/>
              <w:t xml:space="preserve">the last contract, back to May 2016. ETF does not guarantee to purchase any specific quantity or dollar amount in the future. See </w:t>
            </w:r>
            <w:r w:rsidR="00236A6F" w:rsidRPr="003E3ADB">
              <w:rPr>
                <w:rFonts w:ascii="Arial" w:hAnsi="Arial" w:cs="Arial"/>
                <w:b/>
                <w:bCs/>
              </w:rPr>
              <w:t>1.12 No Obligation to Contract</w:t>
            </w:r>
            <w:r w:rsidR="00236A6F" w:rsidRPr="009A2F34">
              <w:rPr>
                <w:rFonts w:ascii="Arial" w:hAnsi="Arial" w:cs="Arial"/>
              </w:rPr>
              <w:t xml:space="preserve"> </w:t>
            </w:r>
          </w:p>
        </w:tc>
      </w:tr>
      <w:tr w:rsidR="005B0D09" w:rsidRPr="009A2F34" w:rsidTr="00143A2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jc w:val="both"/>
              <w:rPr>
                <w:rFonts w:ascii="Arial" w:hAnsi="Arial" w:cs="Arial"/>
              </w:rPr>
            </w:pPr>
            <w:r w:rsidRPr="009A2F34">
              <w:rPr>
                <w:rFonts w:ascii="Arial" w:hAnsi="Arial" w:cs="Arial"/>
              </w:rPr>
              <w:lastRenderedPageBreak/>
              <w:t>Q</w:t>
            </w:r>
            <w:r w:rsidR="00236A6F" w:rsidRPr="009A2F34">
              <w:rPr>
                <w:rFonts w:ascii="Arial" w:hAnsi="Arial" w:cs="Arial"/>
              </w:rPr>
              <w:t>6</w:t>
            </w:r>
            <w:r w:rsidR="006F3892" w:rsidRPr="009A2F34">
              <w:rPr>
                <w:rFonts w:ascii="Arial" w:hAnsi="Arial" w:cs="Arial"/>
              </w:rPr>
              <w:t>5</w:t>
            </w:r>
          </w:p>
        </w:tc>
        <w:tc>
          <w:tcPr>
            <w:tcW w:w="1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Appendix 7-Job Categories and Positions</w:t>
            </w:r>
          </w:p>
        </w:tc>
        <w:tc>
          <w:tcPr>
            <w:tcW w:w="1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1</w:t>
            </w:r>
          </w:p>
        </w:tc>
        <w:tc>
          <w:tcPr>
            <w:tcW w:w="3403"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5B0D09" w:rsidRPr="009A2F34" w:rsidRDefault="005B0D09" w:rsidP="001236AA">
            <w:pPr>
              <w:rPr>
                <w:rFonts w:ascii="Arial" w:hAnsi="Arial" w:cs="Arial"/>
              </w:rPr>
            </w:pPr>
            <w:r w:rsidRPr="009A2F34">
              <w:rPr>
                <w:rFonts w:ascii="Arial" w:hAnsi="Arial" w:cs="Arial"/>
              </w:rPr>
              <w:t>What is the typical/ average assignment durations of Lot 1 and 2?</w:t>
            </w:r>
          </w:p>
        </w:tc>
        <w:tc>
          <w:tcPr>
            <w:tcW w:w="2687"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5B0D09" w:rsidRPr="009A2F34" w:rsidRDefault="00236A6F" w:rsidP="001236AA">
            <w:pPr>
              <w:rPr>
                <w:rFonts w:ascii="Arial" w:hAnsi="Arial" w:cs="Arial"/>
              </w:rPr>
            </w:pPr>
            <w:r w:rsidRPr="009A2F34">
              <w:rPr>
                <w:rFonts w:ascii="Arial" w:hAnsi="Arial" w:cs="Arial"/>
              </w:rPr>
              <w:t>All ETF Position Requests are for more than 12 months.</w:t>
            </w:r>
            <w:r w:rsidR="003E3ADB">
              <w:rPr>
                <w:rFonts w:ascii="Arial" w:hAnsi="Arial" w:cs="Arial"/>
              </w:rPr>
              <w:t xml:space="preserve"> ETF expects long-term commitments as many positions have long training and ramp-up periods. </w:t>
            </w:r>
          </w:p>
        </w:tc>
      </w:tr>
      <w:tr w:rsidR="005D3A3E" w:rsidRPr="009A2F34" w:rsidTr="00143A2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D3A3E" w:rsidRPr="009A2F34" w:rsidRDefault="005D3A3E" w:rsidP="001236AA">
            <w:pPr>
              <w:jc w:val="both"/>
              <w:rPr>
                <w:rFonts w:ascii="Arial" w:hAnsi="Arial" w:cs="Arial"/>
              </w:rPr>
            </w:pPr>
            <w:r w:rsidRPr="009A2F34">
              <w:rPr>
                <w:rFonts w:ascii="Arial" w:hAnsi="Arial" w:cs="Arial"/>
              </w:rPr>
              <w:t>Q66</w:t>
            </w:r>
          </w:p>
        </w:tc>
        <w:tc>
          <w:tcPr>
            <w:tcW w:w="1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D3A3E" w:rsidRPr="009A2F34" w:rsidRDefault="005D3A3E" w:rsidP="001236AA">
            <w:pPr>
              <w:rPr>
                <w:rFonts w:ascii="Arial" w:hAnsi="Arial" w:cs="Arial"/>
              </w:rPr>
            </w:pPr>
            <w:r w:rsidRPr="009A2F34">
              <w:rPr>
                <w:rFonts w:ascii="Arial" w:hAnsi="Arial" w:cs="Arial"/>
              </w:rPr>
              <w:t>RFP Section 4.10 – Notice of Personnel Leaving</w:t>
            </w:r>
          </w:p>
        </w:tc>
        <w:tc>
          <w:tcPr>
            <w:tcW w:w="1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5D3A3E" w:rsidRPr="009A2F34" w:rsidRDefault="005D3A3E" w:rsidP="001236AA">
            <w:pPr>
              <w:rPr>
                <w:rFonts w:ascii="Arial" w:hAnsi="Arial" w:cs="Arial"/>
              </w:rPr>
            </w:pPr>
            <w:r w:rsidRPr="009A2F34">
              <w:rPr>
                <w:rFonts w:ascii="Arial" w:hAnsi="Arial" w:cs="Arial"/>
              </w:rPr>
              <w:t>20</w:t>
            </w:r>
          </w:p>
        </w:tc>
        <w:tc>
          <w:tcPr>
            <w:tcW w:w="3403"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5D3A3E" w:rsidRPr="009A2F34" w:rsidRDefault="005D3A3E" w:rsidP="001236AA">
            <w:pPr>
              <w:rPr>
                <w:rFonts w:ascii="Arial" w:hAnsi="Arial" w:cs="Arial"/>
              </w:rPr>
            </w:pPr>
            <w:r w:rsidRPr="009A2F34">
              <w:rPr>
                <w:rFonts w:ascii="Arial" w:hAnsi="Arial" w:cs="Arial"/>
              </w:rPr>
              <w:t xml:space="preserve">This section states, “If ETF decides to seek a replacement with only the original staffing company and procures a replacement, that staffing company will provide ETF the first (3) weeks of service at no cost so that ETF can train the replacement…” </w:t>
            </w:r>
          </w:p>
          <w:p w:rsidR="005D3A3E" w:rsidRPr="009A2F34" w:rsidRDefault="005D3A3E" w:rsidP="001236AA">
            <w:pPr>
              <w:pStyle w:val="ListParagraph"/>
              <w:numPr>
                <w:ilvl w:val="0"/>
                <w:numId w:val="2"/>
              </w:numPr>
              <w:rPr>
                <w:rFonts w:ascii="Arial" w:hAnsi="Arial" w:cs="Arial"/>
              </w:rPr>
            </w:pPr>
            <w:r w:rsidRPr="009A2F34">
              <w:rPr>
                <w:rFonts w:ascii="Arial" w:hAnsi="Arial" w:cs="Arial"/>
              </w:rPr>
              <w:t>Is this term negotiable?</w:t>
            </w:r>
          </w:p>
          <w:p w:rsidR="005D3A3E" w:rsidRPr="009A2F34" w:rsidRDefault="005D3A3E" w:rsidP="001236AA">
            <w:pPr>
              <w:pStyle w:val="ListParagraph"/>
              <w:numPr>
                <w:ilvl w:val="0"/>
                <w:numId w:val="2"/>
              </w:numPr>
              <w:rPr>
                <w:rFonts w:ascii="Arial" w:hAnsi="Arial" w:cs="Arial"/>
              </w:rPr>
            </w:pPr>
            <w:r w:rsidRPr="009A2F34">
              <w:rPr>
                <w:rFonts w:ascii="Arial" w:hAnsi="Arial" w:cs="Arial"/>
              </w:rPr>
              <w:t>Does ETF always request 3 free weeks of work? If not, what is the typical free time requested?</w:t>
            </w:r>
          </w:p>
        </w:tc>
        <w:tc>
          <w:tcPr>
            <w:tcW w:w="2687"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5D3A3E" w:rsidRPr="009A2F34" w:rsidRDefault="005D3A3E" w:rsidP="001236AA">
            <w:pPr>
              <w:pStyle w:val="LRWLBodyTextNumber1"/>
              <w:rPr>
                <w:rFonts w:cs="Arial"/>
                <w:sz w:val="22"/>
              </w:rPr>
            </w:pPr>
            <w:r w:rsidRPr="009A2F34">
              <w:rPr>
                <w:rFonts w:cs="Arial"/>
                <w:sz w:val="22"/>
              </w:rPr>
              <w:t>ETF is now withdrawing this term. The updated term reads:</w:t>
            </w:r>
          </w:p>
          <w:p w:rsidR="005D3A3E" w:rsidRPr="009A2F34" w:rsidRDefault="005D3A3E" w:rsidP="001236AA">
            <w:pPr>
              <w:pStyle w:val="LRWLBodyTextNumber1"/>
              <w:rPr>
                <w:rFonts w:cs="Arial"/>
                <w:b/>
                <w:bCs/>
                <w:sz w:val="22"/>
              </w:rPr>
            </w:pPr>
            <w:r w:rsidRPr="009A2F34">
              <w:rPr>
                <w:rFonts w:cs="Arial"/>
                <w:b/>
                <w:bCs/>
                <w:sz w:val="22"/>
              </w:rPr>
              <w:t>4.10 Notice of Personnel Leaving</w:t>
            </w:r>
          </w:p>
          <w:p w:rsidR="005D3A3E" w:rsidRPr="009A2F34" w:rsidRDefault="005D3A3E" w:rsidP="001236AA">
            <w:pPr>
              <w:pStyle w:val="LRWLBodyTextNumber1"/>
              <w:rPr>
                <w:rFonts w:cs="Arial"/>
                <w:sz w:val="22"/>
              </w:rPr>
            </w:pPr>
            <w:r w:rsidRPr="009A2F34">
              <w:rPr>
                <w:rFonts w:cs="Arial"/>
                <w:sz w:val="22"/>
              </w:rPr>
              <w:t>Should any of the staffing company’s workers leave before they complete required duties or the engagement end-date, staffing company will provide a written notice ten (10) working days in advance to ETF. ETF will determine if a replacement candidate is desired from the staffing company or if a new posting will be conducted allowing all staffing companies to participate.</w:t>
            </w:r>
          </w:p>
          <w:p w:rsidR="005D3A3E" w:rsidRPr="009A2F34" w:rsidRDefault="005D3A3E" w:rsidP="001236AA">
            <w:pPr>
              <w:jc w:val="both"/>
              <w:rPr>
                <w:rFonts w:ascii="Arial" w:hAnsi="Arial" w:cs="Arial"/>
              </w:rPr>
            </w:pPr>
            <w:r w:rsidRPr="009A2F34">
              <w:rPr>
                <w:rFonts w:ascii="Arial" w:hAnsi="Arial" w:cs="Arial"/>
              </w:rPr>
              <w:t xml:space="preserve"> </w:t>
            </w:r>
          </w:p>
        </w:tc>
      </w:tr>
    </w:tbl>
    <w:p w:rsidR="00097293" w:rsidRPr="009A2F34" w:rsidRDefault="00097293" w:rsidP="001236AA"/>
    <w:tbl>
      <w:tblPr>
        <w:tblW w:w="9360" w:type="dxa"/>
        <w:shd w:val="clear" w:color="auto" w:fill="BDD6EE" w:themeFill="accent5" w:themeFillTint="66"/>
        <w:tblLook w:val="04A0" w:firstRow="1" w:lastRow="0" w:firstColumn="1" w:lastColumn="0" w:noHBand="0" w:noVBand="1"/>
      </w:tblPr>
      <w:tblGrid>
        <w:gridCol w:w="632"/>
        <w:gridCol w:w="1653"/>
        <w:gridCol w:w="1254"/>
        <w:gridCol w:w="3404"/>
        <w:gridCol w:w="2417"/>
      </w:tblGrid>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lastRenderedPageBreak/>
              <w:t>Q</w:t>
            </w:r>
            <w:r w:rsidR="00236A6F" w:rsidRPr="009A2F34">
              <w:rPr>
                <w:rFonts w:ascii="Arial" w:hAnsi="Arial" w:cs="Arial"/>
              </w:rPr>
              <w:t>6</w:t>
            </w:r>
            <w:r w:rsidR="006F3892" w:rsidRPr="009A2F34">
              <w:rPr>
                <w:rFonts w:ascii="Arial" w:hAnsi="Arial" w:cs="Arial"/>
              </w:rPr>
              <w:t>7</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eastAsia="Calibri" w:hAnsi="Arial" w:cs="Arial"/>
              </w:rPr>
              <w:t>Appendix 7</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Please confirm the rates in each job header is a pay rate, and not bill rate.</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5533E1" w:rsidP="001236AA">
            <w:pPr>
              <w:jc w:val="both"/>
              <w:rPr>
                <w:rFonts w:ascii="Arial" w:hAnsi="Arial" w:cs="Arial"/>
              </w:rPr>
            </w:pPr>
            <w:r w:rsidRPr="009A2F34">
              <w:rPr>
                <w:rFonts w:ascii="Arial" w:hAnsi="Arial" w:cs="Arial"/>
              </w:rPr>
              <w:t>See Q7 and Department Answer.</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CB62A0" w:rsidRPr="009A2F34">
              <w:rPr>
                <w:rFonts w:ascii="Arial" w:hAnsi="Arial" w:cs="Arial"/>
              </w:rPr>
              <w:t>6</w:t>
            </w:r>
            <w:r w:rsidR="006F3892" w:rsidRPr="009A2F34">
              <w:rPr>
                <w:rFonts w:ascii="Arial" w:hAnsi="Arial" w:cs="Arial"/>
              </w:rPr>
              <w:t>8</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eastAsia="Calibri" w:hAnsi="Arial" w:cs="Arial"/>
              </w:rPr>
              <w:t>Appendix 7</w:t>
            </w:r>
          </w:p>
          <w:p w:rsidR="00097293" w:rsidRPr="009A2F34" w:rsidRDefault="00097293" w:rsidP="001236AA">
            <w:pPr>
              <w:jc w:val="both"/>
              <w:rPr>
                <w:rFonts w:ascii="Arial" w:hAnsi="Arial" w:cs="Arial"/>
              </w:rPr>
            </w:pP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If the rate in the header is the pay rate, can you share the current bill rates?</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5533E1" w:rsidP="001236AA">
            <w:pPr>
              <w:jc w:val="both"/>
              <w:rPr>
                <w:rFonts w:ascii="Arial" w:hAnsi="Arial" w:cs="Arial"/>
              </w:rPr>
            </w:pPr>
            <w:r w:rsidRPr="009A2F34">
              <w:rPr>
                <w:rFonts w:ascii="Arial" w:hAnsi="Arial" w:cs="Arial"/>
              </w:rPr>
              <w:t>This is the bill rate.</w:t>
            </w:r>
            <w:r w:rsidR="007E3363" w:rsidRPr="009A2F34">
              <w:rPr>
                <w:rFonts w:ascii="Arial" w:hAnsi="Arial" w:cs="Arial"/>
              </w:rPr>
              <w:t xml:space="preserve"> More detailed information on bill rates can be found in the current rate card viewable </w:t>
            </w:r>
            <w:hyperlink r:id="rId10" w:history="1">
              <w:r w:rsidR="007E3363" w:rsidRPr="009A2F34">
                <w:rPr>
                  <w:rStyle w:val="Hyperlink"/>
                  <w:rFonts w:ascii="Arial" w:hAnsi="Arial" w:cs="Arial"/>
                </w:rPr>
                <w:t>here</w:t>
              </w:r>
            </w:hyperlink>
            <w:r w:rsidR="007E3363" w:rsidRPr="009A2F34">
              <w:rPr>
                <w:rFonts w:ascii="Arial" w:hAnsi="Arial" w:cs="Arial"/>
              </w:rPr>
              <w:t>.</w:t>
            </w:r>
          </w:p>
        </w:tc>
      </w:tr>
      <w:tr w:rsidR="00097293" w:rsidRPr="009A2F34" w:rsidTr="004779D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CB62A0" w:rsidRPr="009A2F34">
              <w:rPr>
                <w:rFonts w:ascii="Arial" w:hAnsi="Arial" w:cs="Arial"/>
              </w:rPr>
              <w:t>6</w:t>
            </w:r>
            <w:r w:rsidR="006F3892" w:rsidRPr="009A2F34">
              <w:rPr>
                <w:rFonts w:ascii="Arial" w:hAnsi="Arial" w:cs="Arial"/>
              </w:rPr>
              <w:t>9</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General</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What was the spend in 2019?</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9D47E1" w:rsidP="001236AA">
            <w:pPr>
              <w:spacing w:before="0" w:after="0"/>
              <w:jc w:val="both"/>
              <w:rPr>
                <w:rFonts w:ascii="Arial" w:hAnsi="Arial" w:cs="Arial"/>
                <w:color w:val="000000"/>
              </w:rPr>
            </w:pPr>
            <w:r w:rsidRPr="009A2F34">
              <w:rPr>
                <w:rFonts w:ascii="Arial" w:hAnsi="Arial" w:cs="Arial"/>
                <w:color w:val="000000"/>
              </w:rPr>
              <w:t>$1,195,464.57</w:t>
            </w:r>
            <w:r w:rsidR="008A5466" w:rsidRPr="009A2F34">
              <w:rPr>
                <w:rFonts w:ascii="Arial" w:hAnsi="Arial" w:cs="Arial"/>
                <w:color w:val="000000"/>
              </w:rPr>
              <w:t xml:space="preserve"> – This is </w:t>
            </w:r>
            <w:r w:rsidR="00527D7F" w:rsidRPr="009A2F34">
              <w:rPr>
                <w:rFonts w:ascii="Arial" w:hAnsi="Arial" w:cs="Arial"/>
                <w:color w:val="000000"/>
              </w:rPr>
              <w:t>calendar</w:t>
            </w:r>
            <w:r w:rsidR="008A5466" w:rsidRPr="009A2F34">
              <w:rPr>
                <w:rFonts w:ascii="Arial" w:hAnsi="Arial" w:cs="Arial"/>
                <w:color w:val="000000"/>
              </w:rPr>
              <w:t xml:space="preserve"> year 2019. </w:t>
            </w:r>
          </w:p>
        </w:tc>
      </w:tr>
      <w:tr w:rsidR="00097293" w:rsidRPr="009A2F34" w:rsidTr="004779DA">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6F3892" w:rsidRPr="009A2F34">
              <w:rPr>
                <w:rFonts w:ascii="Arial" w:hAnsi="Arial" w:cs="Arial"/>
              </w:rPr>
              <w:t>70</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 xml:space="preserve">General </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How many vendors are currently servicing ETF?</w:t>
            </w:r>
          </w:p>
        </w:tc>
        <w:tc>
          <w:tcPr>
            <w:tcW w:w="2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5533E1" w:rsidP="001236AA">
            <w:pPr>
              <w:jc w:val="both"/>
              <w:rPr>
                <w:rFonts w:ascii="Arial" w:hAnsi="Arial" w:cs="Arial"/>
              </w:rPr>
            </w:pPr>
            <w:r w:rsidRPr="009A2F34">
              <w:rPr>
                <w:rFonts w:ascii="Arial" w:hAnsi="Arial" w:cs="Arial"/>
              </w:rPr>
              <w:t>3</w:t>
            </w:r>
          </w:p>
        </w:tc>
      </w:tr>
      <w:tr w:rsidR="00097293" w:rsidRPr="009A2F34" w:rsidTr="004779DA">
        <w:tc>
          <w:tcPr>
            <w:tcW w:w="632" w:type="dxa"/>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CB62A0" w:rsidRPr="009A2F34">
              <w:rPr>
                <w:rFonts w:ascii="Arial" w:hAnsi="Arial" w:cs="Arial"/>
              </w:rPr>
              <w:t>7</w:t>
            </w:r>
            <w:r w:rsidR="006F3892" w:rsidRPr="009A2F34">
              <w:rPr>
                <w:rFonts w:ascii="Arial" w:hAnsi="Arial" w:cs="Arial"/>
              </w:rPr>
              <w:t>1</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4.12</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20</w:t>
            </w:r>
          </w:p>
        </w:tc>
        <w:tc>
          <w:tcPr>
            <w:tcW w:w="3404"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 xml:space="preserve">Can you provide the background check requirements in detail? Can we bill </w:t>
            </w:r>
            <w:proofErr w:type="gramStart"/>
            <w:r w:rsidRPr="009A2F34">
              <w:rPr>
                <w:rFonts w:ascii="Arial" w:hAnsi="Arial" w:cs="Arial"/>
              </w:rPr>
              <w:t>these back</w:t>
            </w:r>
            <w:proofErr w:type="gramEnd"/>
            <w:r w:rsidRPr="009A2F34">
              <w:rPr>
                <w:rFonts w:ascii="Arial" w:hAnsi="Arial" w:cs="Arial"/>
              </w:rPr>
              <w:t>?</w:t>
            </w:r>
          </w:p>
        </w:tc>
        <w:tc>
          <w:tcPr>
            <w:tcW w:w="2417" w:type="dxa"/>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rsidR="00097293" w:rsidRPr="009A2F34" w:rsidRDefault="007E3363" w:rsidP="001236AA">
            <w:pPr>
              <w:jc w:val="both"/>
              <w:rPr>
                <w:rFonts w:ascii="Arial" w:hAnsi="Arial" w:cs="Arial"/>
              </w:rPr>
            </w:pPr>
            <w:r w:rsidRPr="009A2F34">
              <w:rPr>
                <w:rFonts w:ascii="Arial" w:hAnsi="Arial" w:cs="Arial"/>
              </w:rPr>
              <w:t>See Q11 and Department Answer.</w:t>
            </w:r>
            <w:r w:rsidR="006C7173">
              <w:rPr>
                <w:rFonts w:ascii="Arial" w:hAnsi="Arial" w:cs="Arial"/>
              </w:rPr>
              <w:t xml:space="preserve"> No, there will be no additional fees or service charges per </w:t>
            </w:r>
            <w:r w:rsidR="006C7173" w:rsidRPr="006C7173">
              <w:rPr>
                <w:rFonts w:ascii="Arial" w:hAnsi="Arial" w:cs="Arial"/>
                <w:b/>
                <w:bCs/>
              </w:rPr>
              <w:t>4.21 Maximum Bill Rate – Ceiling</w:t>
            </w:r>
            <w:r w:rsidR="006C7173">
              <w:rPr>
                <w:rFonts w:ascii="Arial" w:hAnsi="Arial" w:cs="Arial"/>
              </w:rPr>
              <w:t xml:space="preserve">. </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sz w:val="20"/>
                <w:szCs w:val="20"/>
              </w:rPr>
            </w:pPr>
            <w:r w:rsidRPr="009A2F34">
              <w:rPr>
                <w:rFonts w:ascii="Arial" w:hAnsi="Arial" w:cs="Arial"/>
                <w:sz w:val="20"/>
                <w:szCs w:val="20"/>
              </w:rPr>
              <w:t>Q</w:t>
            </w:r>
            <w:r w:rsidR="00CB62A0" w:rsidRPr="009A2F34">
              <w:rPr>
                <w:rFonts w:ascii="Arial" w:hAnsi="Arial" w:cs="Arial"/>
                <w:sz w:val="20"/>
                <w:szCs w:val="20"/>
              </w:rPr>
              <w:t>7</w:t>
            </w:r>
            <w:r w:rsidR="006F3892" w:rsidRPr="009A2F34">
              <w:rPr>
                <w:rFonts w:ascii="Arial" w:hAnsi="Arial" w:cs="Arial"/>
                <w:sz w:val="20"/>
                <w:szCs w:val="20"/>
              </w:rPr>
              <w:t>2</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sz w:val="20"/>
                <w:szCs w:val="20"/>
              </w:rPr>
            </w:pPr>
            <w:r w:rsidRPr="009A2F34">
              <w:rPr>
                <w:rFonts w:ascii="Arial" w:hAnsi="Arial" w:cs="Arial"/>
                <w:sz w:val="20"/>
                <w:szCs w:val="20"/>
              </w:rPr>
              <w:t>Appendix 8</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sz w:val="20"/>
                <w:szCs w:val="20"/>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Can one company be awarded both lots?</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7E3363" w:rsidP="001236AA">
            <w:pPr>
              <w:jc w:val="both"/>
              <w:rPr>
                <w:rFonts w:ascii="Arial" w:hAnsi="Arial" w:cs="Arial"/>
              </w:rPr>
            </w:pPr>
            <w:r w:rsidRPr="009A2F34">
              <w:rPr>
                <w:rFonts w:ascii="Arial" w:hAnsi="Arial" w:cs="Arial"/>
              </w:rPr>
              <w:t xml:space="preserve">Yes. Up to 5 companies can be awarded each lot. They may be the same 5 or a different 5. </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sz w:val="20"/>
                <w:szCs w:val="20"/>
              </w:rPr>
            </w:pPr>
            <w:r w:rsidRPr="009A2F34">
              <w:rPr>
                <w:rFonts w:ascii="Arial" w:hAnsi="Arial" w:cs="Arial"/>
                <w:sz w:val="20"/>
                <w:szCs w:val="20"/>
              </w:rPr>
              <w:t>Q</w:t>
            </w:r>
            <w:r w:rsidR="00CB62A0" w:rsidRPr="009A2F34">
              <w:rPr>
                <w:rFonts w:ascii="Arial" w:hAnsi="Arial" w:cs="Arial"/>
                <w:sz w:val="20"/>
                <w:szCs w:val="20"/>
              </w:rPr>
              <w:t>7</w:t>
            </w:r>
            <w:r w:rsidR="006F3892" w:rsidRPr="009A2F34">
              <w:rPr>
                <w:rFonts w:ascii="Arial" w:hAnsi="Arial" w:cs="Arial"/>
                <w:sz w:val="20"/>
                <w:szCs w:val="20"/>
              </w:rPr>
              <w:t>3</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General</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 xml:space="preserve">What are you looking to change in your current program? </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7E3363" w:rsidP="001236AA">
            <w:pPr>
              <w:jc w:val="both"/>
              <w:rPr>
                <w:rFonts w:ascii="Arial" w:hAnsi="Arial" w:cs="Arial"/>
              </w:rPr>
            </w:pPr>
            <w:r w:rsidRPr="009A2F34">
              <w:rPr>
                <w:rFonts w:ascii="Arial" w:hAnsi="Arial" w:cs="Arial"/>
              </w:rPr>
              <w:t xml:space="preserve">ETF would like to have more staffing companies on the contract. We now have 3 and would like up to 5 for each lot. </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CB62A0" w:rsidRPr="009A2F34">
              <w:rPr>
                <w:rFonts w:ascii="Arial" w:hAnsi="Arial" w:cs="Arial"/>
              </w:rPr>
              <w:t>7</w:t>
            </w:r>
            <w:r w:rsidR="006F3892" w:rsidRPr="009A2F34">
              <w:rPr>
                <w:rFonts w:ascii="Arial" w:hAnsi="Arial" w:cs="Arial"/>
              </w:rPr>
              <w:t>4</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General</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Would ETF be open to a master vendor model?</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A756F9" w:rsidP="001236AA">
            <w:pPr>
              <w:jc w:val="both"/>
              <w:rPr>
                <w:rFonts w:ascii="Arial" w:hAnsi="Arial" w:cs="Arial"/>
              </w:rPr>
            </w:pPr>
            <w:r w:rsidRPr="009A2F34">
              <w:rPr>
                <w:rFonts w:ascii="Arial" w:hAnsi="Arial" w:cs="Arial"/>
              </w:rPr>
              <w:t xml:space="preserve">No. ETF will be contracting directly with the staffing companies who are providing the candidates. </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lastRenderedPageBreak/>
              <w:t>Q</w:t>
            </w:r>
            <w:r w:rsidR="00CB62A0" w:rsidRPr="009A2F34">
              <w:rPr>
                <w:rFonts w:ascii="Arial" w:hAnsi="Arial" w:cs="Arial"/>
              </w:rPr>
              <w:t>7</w:t>
            </w:r>
            <w:r w:rsidR="006F3892" w:rsidRPr="009A2F34">
              <w:rPr>
                <w:rFonts w:ascii="Arial" w:hAnsi="Arial" w:cs="Arial"/>
              </w:rPr>
              <w:t>5</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General</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Will any current contingent workers be transitioned?</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A756F9" w:rsidP="001236AA">
            <w:pPr>
              <w:jc w:val="both"/>
              <w:rPr>
                <w:rFonts w:ascii="Arial" w:hAnsi="Arial" w:cs="Arial"/>
              </w:rPr>
            </w:pPr>
            <w:r w:rsidRPr="009A2F34">
              <w:rPr>
                <w:rFonts w:ascii="Arial" w:hAnsi="Arial" w:cs="Arial"/>
              </w:rPr>
              <w:t>See Q4 and Department Answer.</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CB62A0" w:rsidRPr="009A2F34">
              <w:rPr>
                <w:rFonts w:ascii="Arial" w:hAnsi="Arial" w:cs="Arial"/>
              </w:rPr>
              <w:t>7</w:t>
            </w:r>
            <w:r w:rsidR="006F3892" w:rsidRPr="009A2F34">
              <w:rPr>
                <w:rFonts w:ascii="Arial" w:hAnsi="Arial" w:cs="Arial"/>
              </w:rPr>
              <w:t>6</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General</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Does ETF have specific tests required for the positions, or does ETF prefer we use our tests?</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A756F9" w:rsidP="001236AA">
            <w:pPr>
              <w:jc w:val="both"/>
              <w:rPr>
                <w:rFonts w:ascii="Arial" w:hAnsi="Arial" w:cs="Arial"/>
              </w:rPr>
            </w:pPr>
            <w:r w:rsidRPr="009A2F34">
              <w:rPr>
                <w:rFonts w:ascii="Arial" w:hAnsi="Arial" w:cs="Arial"/>
              </w:rPr>
              <w:t xml:space="preserve">Some of ETF’s interview and training processes use tests, but ETF would like to know what testing the staffing company does. </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CB62A0" w:rsidRPr="009A2F34">
              <w:rPr>
                <w:rFonts w:ascii="Arial" w:hAnsi="Arial" w:cs="Arial"/>
              </w:rPr>
              <w:t>7</w:t>
            </w:r>
            <w:r w:rsidR="006F3892" w:rsidRPr="009A2F34">
              <w:rPr>
                <w:rFonts w:ascii="Arial" w:hAnsi="Arial" w:cs="Arial"/>
              </w:rPr>
              <w:t>7</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General</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What is the average length of assignment in each of the categories?</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420E22" w:rsidP="001236AA">
            <w:pPr>
              <w:jc w:val="both"/>
              <w:rPr>
                <w:rFonts w:ascii="Arial" w:hAnsi="Arial" w:cs="Arial"/>
              </w:rPr>
            </w:pPr>
            <w:r w:rsidRPr="009A2F34">
              <w:rPr>
                <w:rFonts w:ascii="Arial" w:hAnsi="Arial" w:cs="Arial"/>
              </w:rPr>
              <w:t>All ETF Position Requests are for more than 12 months.</w:t>
            </w:r>
            <w:r>
              <w:rPr>
                <w:rFonts w:ascii="Arial" w:hAnsi="Arial" w:cs="Arial"/>
              </w:rPr>
              <w:t xml:space="preserve"> ETF expects long-term commitments as many positions have long training and ramp-up periods.</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CB62A0" w:rsidRPr="009A2F34">
              <w:rPr>
                <w:rFonts w:ascii="Arial" w:hAnsi="Arial" w:cs="Arial"/>
              </w:rPr>
              <w:t>7</w:t>
            </w:r>
            <w:r w:rsidR="006F3892" w:rsidRPr="009A2F34">
              <w:rPr>
                <w:rFonts w:ascii="Arial" w:hAnsi="Arial" w:cs="Arial"/>
              </w:rPr>
              <w:t>8</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General</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Does ETF ever hire temporary workers on a permanent basis?</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A756F9" w:rsidP="001236AA">
            <w:pPr>
              <w:jc w:val="both"/>
              <w:rPr>
                <w:rFonts w:ascii="Arial" w:hAnsi="Arial" w:cs="Arial"/>
              </w:rPr>
            </w:pPr>
            <w:r w:rsidRPr="009A2F34">
              <w:rPr>
                <w:rFonts w:ascii="Arial" w:hAnsi="Arial" w:cs="Arial"/>
              </w:rPr>
              <w:t xml:space="preserve">Yes. Workers are encouraged to apply for permanent employment at ETF as it becomes available. </w:t>
            </w:r>
          </w:p>
        </w:tc>
      </w:tr>
      <w:tr w:rsidR="00097293" w:rsidRPr="009A2F34" w:rsidTr="001236AA">
        <w:tc>
          <w:tcPr>
            <w:tcW w:w="632" w:type="dxa"/>
            <w:tcBorders>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Q</w:t>
            </w:r>
            <w:r w:rsidR="00CB62A0" w:rsidRPr="009A2F34">
              <w:rPr>
                <w:rFonts w:ascii="Arial" w:hAnsi="Arial" w:cs="Arial"/>
              </w:rPr>
              <w:t>7</w:t>
            </w:r>
            <w:r w:rsidR="006F3892" w:rsidRPr="009A2F34">
              <w:rPr>
                <w:rFonts w:ascii="Arial" w:hAnsi="Arial" w:cs="Arial"/>
              </w:rPr>
              <w:t>9</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r w:rsidRPr="009A2F34">
              <w:rPr>
                <w:rFonts w:ascii="Arial" w:hAnsi="Arial" w:cs="Arial"/>
              </w:rPr>
              <w:t>General</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rsidR="00097293" w:rsidRPr="009A2F34" w:rsidRDefault="00097293" w:rsidP="001236AA">
            <w:pPr>
              <w:jc w:val="both"/>
              <w:rPr>
                <w:rFonts w:ascii="Arial" w:hAnsi="Arial" w:cs="Arial"/>
              </w:rPr>
            </w:pPr>
          </w:p>
        </w:tc>
        <w:tc>
          <w:tcPr>
            <w:tcW w:w="3404"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097293" w:rsidP="001236AA">
            <w:pPr>
              <w:rPr>
                <w:rFonts w:ascii="Arial" w:hAnsi="Arial" w:cs="Arial"/>
              </w:rPr>
            </w:pPr>
            <w:r w:rsidRPr="009A2F34">
              <w:rPr>
                <w:rFonts w:ascii="Arial" w:hAnsi="Arial" w:cs="Arial"/>
              </w:rPr>
              <w:t xml:space="preserve">If an assignment exceeds one year, will there be an option for a pay increase? </w:t>
            </w:r>
          </w:p>
        </w:tc>
        <w:tc>
          <w:tcPr>
            <w:tcW w:w="2417" w:type="dxa"/>
            <w:tcBorders>
              <w:left w:val="single" w:sz="4" w:space="0" w:color="FFFFFF" w:themeColor="background1"/>
              <w:bottom w:val="single" w:sz="4" w:space="0" w:color="FFFFFF" w:themeColor="background1"/>
            </w:tcBorders>
            <w:shd w:val="clear" w:color="auto" w:fill="BDD6EE" w:themeFill="accent5" w:themeFillTint="66"/>
          </w:tcPr>
          <w:p w:rsidR="00097293" w:rsidRPr="009A2F34" w:rsidRDefault="00A756F9" w:rsidP="001236AA">
            <w:pPr>
              <w:jc w:val="both"/>
              <w:rPr>
                <w:rFonts w:ascii="Arial" w:hAnsi="Arial" w:cs="Arial"/>
              </w:rPr>
            </w:pPr>
            <w:r w:rsidRPr="009A2F34">
              <w:rPr>
                <w:rFonts w:ascii="Arial" w:hAnsi="Arial" w:cs="Arial"/>
              </w:rPr>
              <w:t>The options are flexible</w:t>
            </w:r>
            <w:r w:rsidR="00420E22">
              <w:rPr>
                <w:rFonts w:ascii="Arial" w:hAnsi="Arial" w:cs="Arial"/>
              </w:rPr>
              <w:t xml:space="preserve"> and do not require one year to pass</w:t>
            </w:r>
            <w:r w:rsidRPr="009A2F34">
              <w:rPr>
                <w:rFonts w:ascii="Arial" w:hAnsi="Arial" w:cs="Arial"/>
              </w:rPr>
              <w:t xml:space="preserve">. See </w:t>
            </w:r>
            <w:r w:rsidR="00CB62A0" w:rsidRPr="00420E22">
              <w:rPr>
                <w:rFonts w:ascii="Arial" w:hAnsi="Arial" w:cs="Arial"/>
                <w:b/>
                <w:bCs/>
              </w:rPr>
              <w:t>4.21 Maximum Bill Rate – Ceiling</w:t>
            </w:r>
            <w:r w:rsidR="00CB62A0" w:rsidRPr="009A2F34">
              <w:rPr>
                <w:rFonts w:ascii="Arial" w:hAnsi="Arial" w:cs="Arial"/>
              </w:rPr>
              <w:t xml:space="preserve">. </w:t>
            </w:r>
          </w:p>
        </w:tc>
      </w:tr>
    </w:tbl>
    <w:p w:rsidR="00DE3275" w:rsidRPr="009A2F34" w:rsidRDefault="00DE3275" w:rsidP="001236AA"/>
    <w:tbl>
      <w:tblPr>
        <w:tblW w:w="9360" w:type="dxa"/>
        <w:tblInd w:w="-10" w:type="dxa"/>
        <w:tblBorders>
          <w:left w:val="single" w:sz="8" w:space="0" w:color="FFFFFF"/>
          <w:bottom w:val="single" w:sz="8" w:space="0" w:color="FFFFFF"/>
          <w:right w:val="single" w:sz="8" w:space="0" w:color="FFFFFF"/>
          <w:insideH w:val="single" w:sz="8" w:space="0" w:color="FFFFFF"/>
          <w:insideV w:val="single" w:sz="8" w:space="0" w:color="FFFFFF"/>
        </w:tblBorders>
        <w:shd w:val="clear" w:color="auto" w:fill="BDD6EE" w:themeFill="accent5" w:themeFillTint="66"/>
        <w:tblLayout w:type="fixed"/>
        <w:tblCellMar>
          <w:left w:w="0" w:type="dxa"/>
          <w:right w:w="0" w:type="dxa"/>
        </w:tblCellMar>
        <w:tblLook w:val="04A0" w:firstRow="1" w:lastRow="0" w:firstColumn="1" w:lastColumn="0" w:noHBand="0" w:noVBand="1"/>
      </w:tblPr>
      <w:tblGrid>
        <w:gridCol w:w="720"/>
        <w:gridCol w:w="1620"/>
        <w:gridCol w:w="1260"/>
        <w:gridCol w:w="3330"/>
        <w:gridCol w:w="2430"/>
      </w:tblGrid>
      <w:tr w:rsidR="00DE3275" w:rsidRPr="009A2F34" w:rsidTr="00BB23C6">
        <w:trPr>
          <w:trHeight w:val="726"/>
        </w:trPr>
        <w:tc>
          <w:tcPr>
            <w:tcW w:w="7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Q</w:t>
            </w:r>
            <w:r w:rsidR="006F3892" w:rsidRPr="009A2F34">
              <w:rPr>
                <w:rFonts w:ascii="Arial" w:hAnsi="Arial" w:cs="Arial"/>
                <w:color w:val="000000"/>
              </w:rPr>
              <w:t>80</w:t>
            </w:r>
          </w:p>
        </w:tc>
        <w:tc>
          <w:tcPr>
            <w:tcW w:w="16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pPr>
            <w:r w:rsidRPr="009A2F34">
              <w:rPr>
                <w:rFonts w:ascii="Arial" w:hAnsi="Arial" w:cs="Arial"/>
                <w:color w:val="000000"/>
              </w:rPr>
              <w:t>2.3 Submitting the Proposal</w:t>
            </w:r>
          </w:p>
        </w:tc>
        <w:tc>
          <w:tcPr>
            <w:tcW w:w="126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10</w:t>
            </w:r>
          </w:p>
        </w:tc>
        <w:tc>
          <w:tcPr>
            <w:tcW w:w="3330" w:type="dxa"/>
            <w:shd w:val="clear" w:color="auto" w:fill="BDD6EE" w:themeFill="accent5" w:themeFillTint="66"/>
            <w:tcMar>
              <w:top w:w="0" w:type="dxa"/>
              <w:left w:w="108" w:type="dxa"/>
              <w:bottom w:w="0" w:type="dxa"/>
              <w:right w:w="108" w:type="dxa"/>
            </w:tcMar>
            <w:hideMark/>
          </w:tcPr>
          <w:p w:rsidR="00DE3275" w:rsidRPr="00E160DE" w:rsidRDefault="00DE3275" w:rsidP="001236AA">
            <w:pPr>
              <w:spacing w:line="276" w:lineRule="auto"/>
              <w:rPr>
                <w:rFonts w:ascii="Arial" w:hAnsi="Arial" w:cs="Arial"/>
              </w:rPr>
            </w:pPr>
            <w:r w:rsidRPr="00E160DE">
              <w:rPr>
                <w:rFonts w:ascii="Arial" w:hAnsi="Arial" w:cs="Arial"/>
                <w:color w:val="000000"/>
              </w:rPr>
              <w:t xml:space="preserve">Could you please clarify if the proposal submission is to be submitted on </w:t>
            </w:r>
            <w:hyperlink r:id="rId11" w:history="1">
              <w:r w:rsidRPr="00E160DE">
                <w:rPr>
                  <w:rStyle w:val="Hyperlink"/>
                  <w:rFonts w:ascii="Arial" w:hAnsi="Arial" w:cs="Arial"/>
                </w:rPr>
                <w:t>https://eiam.wisconsin.gov</w:t>
              </w:r>
            </w:hyperlink>
            <w:r w:rsidRPr="00E160DE">
              <w:rPr>
                <w:rFonts w:ascii="Arial" w:hAnsi="Arial" w:cs="Arial"/>
                <w:color w:val="000000"/>
              </w:rPr>
              <w:t xml:space="preserve"> i.e. SFTP server</w:t>
            </w:r>
          </w:p>
        </w:tc>
        <w:tc>
          <w:tcPr>
            <w:tcW w:w="2430" w:type="dxa"/>
            <w:shd w:val="clear" w:color="auto" w:fill="BDD6EE" w:themeFill="accent5" w:themeFillTint="66"/>
            <w:tcMar>
              <w:top w:w="0" w:type="dxa"/>
              <w:left w:w="108" w:type="dxa"/>
              <w:bottom w:w="0" w:type="dxa"/>
              <w:right w:w="108" w:type="dxa"/>
            </w:tcMar>
            <w:hideMark/>
          </w:tcPr>
          <w:p w:rsidR="00DE3275" w:rsidRPr="00C7215A" w:rsidRDefault="003A726D" w:rsidP="001236AA">
            <w:pPr>
              <w:spacing w:line="276" w:lineRule="auto"/>
              <w:jc w:val="both"/>
              <w:rPr>
                <w:rFonts w:ascii="Arial" w:hAnsi="Arial" w:cs="Arial"/>
              </w:rPr>
            </w:pPr>
            <w:r w:rsidRPr="00C7215A">
              <w:rPr>
                <w:rFonts w:ascii="Arial" w:hAnsi="Arial" w:cs="Arial"/>
              </w:rPr>
              <w:t xml:space="preserve">The SFTP link is: </w:t>
            </w:r>
            <w:hyperlink r:id="rId12">
              <w:r w:rsidRPr="00C7215A">
                <w:rPr>
                  <w:rFonts w:ascii="Arial" w:hAnsi="Arial" w:cs="Arial"/>
                  <w:color w:val="0563C1"/>
                  <w:u w:val="single" w:color="0563C1"/>
                </w:rPr>
                <w:t>https://mft.etf.wi.gov</w:t>
              </w:r>
            </w:hyperlink>
            <w:r w:rsidR="003C7BD1" w:rsidRPr="00C7215A">
              <w:rPr>
                <w:rFonts w:ascii="Arial" w:hAnsi="Arial" w:cs="Arial"/>
                <w:color w:val="0563C1"/>
                <w:u w:val="single" w:color="0563C1"/>
              </w:rPr>
              <w:t>.</w:t>
            </w:r>
          </w:p>
        </w:tc>
      </w:tr>
      <w:tr w:rsidR="00DE3275" w:rsidRPr="009A2F34" w:rsidTr="00BB23C6">
        <w:trPr>
          <w:trHeight w:val="1467"/>
        </w:trPr>
        <w:tc>
          <w:tcPr>
            <w:tcW w:w="7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lastRenderedPageBreak/>
              <w:t>Q</w:t>
            </w:r>
            <w:r w:rsidR="00AE3B6F" w:rsidRPr="009A2F34">
              <w:rPr>
                <w:rFonts w:ascii="Arial" w:hAnsi="Arial" w:cs="Arial"/>
                <w:color w:val="000000"/>
              </w:rPr>
              <w:t>8</w:t>
            </w:r>
            <w:r w:rsidR="006F3892" w:rsidRPr="009A2F34">
              <w:rPr>
                <w:rFonts w:ascii="Arial" w:hAnsi="Arial" w:cs="Arial"/>
                <w:color w:val="000000"/>
              </w:rPr>
              <w:t>1</w:t>
            </w:r>
          </w:p>
        </w:tc>
        <w:tc>
          <w:tcPr>
            <w:tcW w:w="16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pPr>
            <w:r w:rsidRPr="009A2F34">
              <w:rPr>
                <w:rFonts w:ascii="Arial" w:hAnsi="Arial" w:cs="Arial"/>
                <w:color w:val="000000"/>
              </w:rPr>
              <w:t>Proposal Organization and Format</w:t>
            </w:r>
          </w:p>
        </w:tc>
        <w:tc>
          <w:tcPr>
            <w:tcW w:w="126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11</w:t>
            </w:r>
          </w:p>
        </w:tc>
        <w:tc>
          <w:tcPr>
            <w:tcW w:w="3330" w:type="dxa"/>
            <w:shd w:val="clear" w:color="auto" w:fill="BDD6EE" w:themeFill="accent5" w:themeFillTint="66"/>
            <w:tcMar>
              <w:top w:w="0" w:type="dxa"/>
              <w:left w:w="108" w:type="dxa"/>
              <w:bottom w:w="0" w:type="dxa"/>
              <w:right w:w="108" w:type="dxa"/>
            </w:tcMar>
            <w:hideMark/>
          </w:tcPr>
          <w:p w:rsidR="00DE3275" w:rsidRPr="009A2F34" w:rsidRDefault="00DE3275" w:rsidP="001236AA">
            <w:pPr>
              <w:pStyle w:val="gmail-default"/>
              <w:spacing w:before="0" w:beforeAutospacing="0" w:after="0" w:afterAutospacing="0"/>
              <w:rPr>
                <w:rFonts w:ascii="Arial" w:hAnsi="Arial" w:cs="Arial"/>
                <w:color w:val="000000"/>
                <w:sz w:val="24"/>
                <w:szCs w:val="24"/>
              </w:rPr>
            </w:pPr>
            <w:r w:rsidRPr="009A2F34">
              <w:rPr>
                <w:rFonts w:ascii="Arial" w:hAnsi="Arial" w:cs="Arial"/>
                <w:i/>
                <w:iCs/>
                <w:color w:val="000000"/>
              </w:rPr>
              <w:t xml:space="preserve">Provide a response to </w:t>
            </w:r>
            <w:proofErr w:type="gramStart"/>
            <w:r w:rsidRPr="009A2F34">
              <w:rPr>
                <w:rFonts w:ascii="Arial" w:hAnsi="Arial" w:cs="Arial"/>
                <w:i/>
                <w:iCs/>
                <w:color w:val="000000"/>
              </w:rPr>
              <w:t>each and every</w:t>
            </w:r>
            <w:proofErr w:type="gramEnd"/>
            <w:r w:rsidRPr="009A2F34">
              <w:rPr>
                <w:rFonts w:ascii="Arial" w:hAnsi="Arial" w:cs="Arial"/>
                <w:i/>
                <w:iCs/>
                <w:color w:val="000000"/>
              </w:rPr>
              <w:t xml:space="preserve"> Job Category in Appendix 7. The response must follow the same numbering system, use the same headings, and address each Job Category in Appendix 7. See Section 7 below. </w:t>
            </w:r>
          </w:p>
          <w:p w:rsidR="00DE3275" w:rsidRPr="009A2F34" w:rsidRDefault="00DE3275" w:rsidP="001236AA">
            <w:pPr>
              <w:spacing w:line="276" w:lineRule="auto"/>
              <w:rPr>
                <w:rFonts w:ascii="Calibri" w:hAnsi="Calibri" w:cs="Calibri"/>
              </w:rPr>
            </w:pPr>
            <w:r w:rsidRPr="009A2F34">
              <w:rPr>
                <w:rFonts w:ascii="Arial" w:hAnsi="Arial" w:cs="Arial"/>
              </w:rPr>
              <w:t> </w:t>
            </w:r>
          </w:p>
          <w:p w:rsidR="00DE3275" w:rsidRPr="009A2F34" w:rsidRDefault="00DE3275" w:rsidP="001236AA">
            <w:pPr>
              <w:spacing w:line="276" w:lineRule="auto"/>
            </w:pPr>
            <w:r w:rsidRPr="009A2F34">
              <w:rPr>
                <w:rFonts w:ascii="Arial" w:hAnsi="Arial" w:cs="Arial"/>
                <w:color w:val="000000"/>
              </w:rPr>
              <w:t>Could you please clarify what ETF needs as a response to each job category in Appendix 7?</w:t>
            </w:r>
          </w:p>
        </w:tc>
        <w:tc>
          <w:tcPr>
            <w:tcW w:w="243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rPr>
              <w:t> </w:t>
            </w:r>
            <w:r w:rsidR="00780266" w:rsidRPr="009A2F34">
              <w:rPr>
                <w:rFonts w:ascii="Arial" w:hAnsi="Arial" w:cs="Arial"/>
              </w:rPr>
              <w:t>See Section 7</w:t>
            </w:r>
            <w:r w:rsidR="00C7215A">
              <w:rPr>
                <w:rFonts w:ascii="Arial" w:hAnsi="Arial" w:cs="Arial"/>
              </w:rPr>
              <w:t xml:space="preserve"> of the RFP, pg. 24. </w:t>
            </w:r>
          </w:p>
        </w:tc>
      </w:tr>
      <w:tr w:rsidR="00DE3275" w:rsidRPr="009A2F34" w:rsidTr="00BB23C6">
        <w:trPr>
          <w:trHeight w:val="1017"/>
        </w:trPr>
        <w:tc>
          <w:tcPr>
            <w:tcW w:w="7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Q</w:t>
            </w:r>
            <w:r w:rsidR="00AE3B6F" w:rsidRPr="009A2F34">
              <w:rPr>
                <w:rFonts w:ascii="Arial" w:hAnsi="Arial" w:cs="Arial"/>
                <w:color w:val="000000"/>
              </w:rPr>
              <w:t>8</w:t>
            </w:r>
            <w:r w:rsidR="006F3892" w:rsidRPr="009A2F34">
              <w:rPr>
                <w:rFonts w:ascii="Arial" w:hAnsi="Arial" w:cs="Arial"/>
                <w:color w:val="000000"/>
              </w:rPr>
              <w:t>2</w:t>
            </w:r>
          </w:p>
        </w:tc>
        <w:tc>
          <w:tcPr>
            <w:tcW w:w="16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pPr>
            <w:r w:rsidRPr="009A2F34">
              <w:rPr>
                <w:rFonts w:ascii="Arial" w:hAnsi="Arial" w:cs="Arial"/>
                <w:color w:val="000000"/>
              </w:rPr>
              <w:t>Appendix 3: Subcontractor Information</w:t>
            </w:r>
          </w:p>
        </w:tc>
        <w:tc>
          <w:tcPr>
            <w:tcW w:w="126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rPr>
              <w:t> </w:t>
            </w:r>
          </w:p>
        </w:tc>
        <w:tc>
          <w:tcPr>
            <w:tcW w:w="333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pPr>
            <w:r w:rsidRPr="009A2F34">
              <w:rPr>
                <w:rFonts w:ascii="Arial" w:hAnsi="Arial" w:cs="Arial"/>
                <w:color w:val="000000"/>
              </w:rPr>
              <w:t xml:space="preserve">Is subcontracting mandatory for this contract? Also, can you please share name of the certifying agency and percentage of goal for sub? If it is optional, can we submit the Appendix 3 as Not Applicable? </w:t>
            </w:r>
          </w:p>
        </w:tc>
        <w:tc>
          <w:tcPr>
            <w:tcW w:w="2430" w:type="dxa"/>
            <w:shd w:val="clear" w:color="auto" w:fill="BDD6EE" w:themeFill="accent5" w:themeFillTint="66"/>
            <w:tcMar>
              <w:top w:w="0" w:type="dxa"/>
              <w:left w:w="108" w:type="dxa"/>
              <w:bottom w:w="0" w:type="dxa"/>
              <w:right w:w="108" w:type="dxa"/>
            </w:tcMar>
            <w:hideMark/>
          </w:tcPr>
          <w:p w:rsidR="003C7BD1" w:rsidRPr="009A2F34" w:rsidRDefault="00780266" w:rsidP="001236AA">
            <w:pPr>
              <w:spacing w:line="276" w:lineRule="auto"/>
              <w:jc w:val="both"/>
              <w:rPr>
                <w:rFonts w:ascii="Arial" w:hAnsi="Arial" w:cs="Arial"/>
              </w:rPr>
            </w:pPr>
            <w:r w:rsidRPr="009A2F34">
              <w:rPr>
                <w:rFonts w:ascii="Arial" w:hAnsi="Arial" w:cs="Arial"/>
              </w:rPr>
              <w:t>No</w:t>
            </w:r>
            <w:r w:rsidR="003C7BD1" w:rsidRPr="009A2F34">
              <w:rPr>
                <w:rFonts w:ascii="Arial" w:hAnsi="Arial" w:cs="Arial"/>
              </w:rPr>
              <w:t>, subcontracting is not mandatory</w:t>
            </w:r>
            <w:r w:rsidRPr="009A2F34">
              <w:rPr>
                <w:rFonts w:ascii="Arial" w:hAnsi="Arial" w:cs="Arial"/>
              </w:rPr>
              <w:t xml:space="preserve">. </w:t>
            </w:r>
          </w:p>
          <w:p w:rsidR="003C7BD1" w:rsidRPr="009A2F34" w:rsidRDefault="00780266" w:rsidP="001236AA">
            <w:pPr>
              <w:spacing w:line="276" w:lineRule="auto"/>
              <w:jc w:val="both"/>
              <w:rPr>
                <w:rFonts w:ascii="Arial" w:hAnsi="Arial" w:cs="Arial"/>
              </w:rPr>
            </w:pPr>
            <w:r w:rsidRPr="009A2F34">
              <w:rPr>
                <w:rFonts w:ascii="Arial" w:hAnsi="Arial" w:cs="Arial"/>
              </w:rPr>
              <w:t>You must submit on Appendix 3 who authored the RFP</w:t>
            </w:r>
            <w:r w:rsidR="003C7BD1" w:rsidRPr="009A2F34">
              <w:rPr>
                <w:rFonts w:ascii="Arial" w:hAnsi="Arial" w:cs="Arial"/>
              </w:rPr>
              <w:t>.</w:t>
            </w:r>
          </w:p>
          <w:p w:rsidR="00780266" w:rsidRPr="009A2F34" w:rsidRDefault="00780266" w:rsidP="001236AA">
            <w:pPr>
              <w:spacing w:line="276" w:lineRule="auto"/>
              <w:jc w:val="both"/>
              <w:rPr>
                <w:rFonts w:ascii="Arial" w:hAnsi="Arial" w:cs="Arial"/>
              </w:rPr>
            </w:pPr>
          </w:p>
        </w:tc>
      </w:tr>
      <w:tr w:rsidR="00DE3275" w:rsidRPr="009A2F34" w:rsidTr="00BB23C6">
        <w:trPr>
          <w:trHeight w:val="1097"/>
        </w:trPr>
        <w:tc>
          <w:tcPr>
            <w:tcW w:w="7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Q</w:t>
            </w:r>
            <w:r w:rsidR="00AE3B6F" w:rsidRPr="009A2F34">
              <w:rPr>
                <w:rFonts w:ascii="Arial" w:hAnsi="Arial" w:cs="Arial"/>
                <w:color w:val="000000"/>
              </w:rPr>
              <w:t>8</w:t>
            </w:r>
            <w:r w:rsidR="006F3892" w:rsidRPr="009A2F34">
              <w:rPr>
                <w:rFonts w:ascii="Arial" w:hAnsi="Arial" w:cs="Arial"/>
                <w:color w:val="000000"/>
              </w:rPr>
              <w:t>3</w:t>
            </w:r>
          </w:p>
        </w:tc>
        <w:tc>
          <w:tcPr>
            <w:tcW w:w="16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3.3 Proposal Scoring</w:t>
            </w:r>
          </w:p>
        </w:tc>
        <w:tc>
          <w:tcPr>
            <w:tcW w:w="126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15</w:t>
            </w:r>
          </w:p>
        </w:tc>
        <w:tc>
          <w:tcPr>
            <w:tcW w:w="3330" w:type="dxa"/>
            <w:shd w:val="clear" w:color="auto" w:fill="BDD6EE" w:themeFill="accent5" w:themeFillTint="66"/>
            <w:tcMar>
              <w:top w:w="0" w:type="dxa"/>
              <w:left w:w="108" w:type="dxa"/>
              <w:bottom w:w="0" w:type="dxa"/>
              <w:right w:w="108" w:type="dxa"/>
            </w:tcMar>
            <w:hideMark/>
          </w:tcPr>
          <w:p w:rsidR="00DE3275" w:rsidRPr="00E160DE" w:rsidRDefault="00DE3275" w:rsidP="001236AA">
            <w:pPr>
              <w:pStyle w:val="gmail-default"/>
              <w:spacing w:before="0" w:beforeAutospacing="0" w:after="0" w:afterAutospacing="0"/>
              <w:rPr>
                <w:rFonts w:ascii="Arial" w:hAnsi="Arial" w:cs="Arial"/>
                <w:color w:val="000000"/>
              </w:rPr>
            </w:pPr>
            <w:r w:rsidRPr="00E160DE">
              <w:rPr>
                <w:rFonts w:ascii="Arial" w:hAnsi="Arial" w:cs="Arial"/>
                <w:color w:val="000000"/>
              </w:rPr>
              <w:t>How do we provide the references of our previous work? How many references are required, will 3 references of similar scope be</w:t>
            </w:r>
            <w:r w:rsidR="00E160DE" w:rsidRPr="00E160DE">
              <w:rPr>
                <w:rFonts w:ascii="Arial" w:hAnsi="Arial" w:cs="Arial"/>
                <w:color w:val="000000"/>
              </w:rPr>
              <w:t xml:space="preserve"> </w:t>
            </w:r>
            <w:proofErr w:type="gramStart"/>
            <w:r w:rsidRPr="00E160DE">
              <w:rPr>
                <w:rFonts w:ascii="Arial" w:hAnsi="Arial" w:cs="Arial"/>
                <w:color w:val="000000"/>
              </w:rPr>
              <w:t>sufficient</w:t>
            </w:r>
            <w:proofErr w:type="gramEnd"/>
            <w:r w:rsidRPr="00E160DE">
              <w:rPr>
                <w:rFonts w:ascii="Arial" w:hAnsi="Arial" w:cs="Arial"/>
                <w:color w:val="000000"/>
              </w:rPr>
              <w:t>?  Could you please let us know if we can use ETF as one of the references?</w:t>
            </w:r>
          </w:p>
        </w:tc>
        <w:tc>
          <w:tcPr>
            <w:tcW w:w="2430" w:type="dxa"/>
            <w:shd w:val="clear" w:color="auto" w:fill="BDD6EE" w:themeFill="accent5" w:themeFillTint="66"/>
            <w:tcMar>
              <w:top w:w="0" w:type="dxa"/>
              <w:left w:w="108" w:type="dxa"/>
              <w:bottom w:w="0" w:type="dxa"/>
              <w:right w:w="108" w:type="dxa"/>
            </w:tcMar>
            <w:hideMark/>
          </w:tcPr>
          <w:p w:rsidR="00A77F44" w:rsidRPr="009A2F34" w:rsidRDefault="003C7BD1" w:rsidP="001236AA">
            <w:pPr>
              <w:spacing w:line="276" w:lineRule="auto"/>
              <w:jc w:val="both"/>
              <w:rPr>
                <w:rFonts w:ascii="Arial" w:hAnsi="Arial" w:cs="Arial"/>
              </w:rPr>
            </w:pPr>
            <w:r w:rsidRPr="009A2F34">
              <w:rPr>
                <w:rFonts w:ascii="Arial" w:hAnsi="Arial" w:cs="Arial"/>
              </w:rPr>
              <w:t>Appendix 2 – Proposer Required Form</w:t>
            </w:r>
            <w:r w:rsidR="00A77F44" w:rsidRPr="009A2F34">
              <w:rPr>
                <w:rFonts w:ascii="Arial" w:hAnsi="Arial" w:cs="Arial"/>
              </w:rPr>
              <w:t>.</w:t>
            </w:r>
          </w:p>
          <w:p w:rsidR="00DE3275" w:rsidRPr="009A2F34" w:rsidRDefault="003C7BD1" w:rsidP="001236AA">
            <w:pPr>
              <w:spacing w:line="276" w:lineRule="auto"/>
              <w:jc w:val="both"/>
              <w:rPr>
                <w:rFonts w:ascii="Arial" w:hAnsi="Arial" w:cs="Arial"/>
              </w:rPr>
            </w:pPr>
            <w:r w:rsidRPr="009A2F34">
              <w:rPr>
                <w:rFonts w:ascii="Arial" w:hAnsi="Arial" w:cs="Arial"/>
              </w:rPr>
              <w:t xml:space="preserve">See </w:t>
            </w:r>
            <w:r w:rsidRPr="00E160DE">
              <w:rPr>
                <w:rFonts w:ascii="Arial" w:hAnsi="Arial" w:cs="Arial"/>
                <w:b/>
                <w:bCs/>
              </w:rPr>
              <w:t>4.6 References</w:t>
            </w:r>
            <w:r w:rsidRPr="009A2F34">
              <w:rPr>
                <w:rFonts w:ascii="Arial" w:hAnsi="Arial" w:cs="Arial"/>
              </w:rPr>
              <w:t xml:space="preserve">. </w:t>
            </w:r>
          </w:p>
          <w:p w:rsidR="00A77F44" w:rsidRPr="009A2F34" w:rsidRDefault="00A77F44" w:rsidP="001236AA">
            <w:pPr>
              <w:spacing w:line="276" w:lineRule="auto"/>
              <w:jc w:val="both"/>
              <w:rPr>
                <w:rFonts w:ascii="Calibri" w:hAnsi="Calibri" w:cs="Calibri"/>
              </w:rPr>
            </w:pPr>
            <w:r w:rsidRPr="009A2F34">
              <w:rPr>
                <w:rFonts w:ascii="Arial" w:hAnsi="Arial" w:cs="Arial"/>
              </w:rPr>
              <w:t xml:space="preserve">Yes, ETF can be one of the references. </w:t>
            </w:r>
          </w:p>
        </w:tc>
      </w:tr>
      <w:tr w:rsidR="00DE3275" w:rsidRPr="009A2F34" w:rsidTr="00BB23C6">
        <w:tc>
          <w:tcPr>
            <w:tcW w:w="7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Q</w:t>
            </w:r>
            <w:r w:rsidR="00AE3B6F" w:rsidRPr="009A2F34">
              <w:rPr>
                <w:rFonts w:ascii="Arial" w:hAnsi="Arial" w:cs="Arial"/>
                <w:color w:val="000000"/>
              </w:rPr>
              <w:t>8</w:t>
            </w:r>
            <w:r w:rsidR="006F3892" w:rsidRPr="009A2F34">
              <w:rPr>
                <w:rFonts w:ascii="Arial" w:hAnsi="Arial" w:cs="Arial"/>
                <w:color w:val="000000"/>
              </w:rPr>
              <w:t>4</w:t>
            </w:r>
          </w:p>
        </w:tc>
        <w:tc>
          <w:tcPr>
            <w:tcW w:w="162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color w:val="000000"/>
              </w:rPr>
              <w:t>General</w:t>
            </w:r>
          </w:p>
        </w:tc>
        <w:tc>
          <w:tcPr>
            <w:tcW w:w="126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rPr>
              <w:t> </w:t>
            </w:r>
          </w:p>
        </w:tc>
        <w:tc>
          <w:tcPr>
            <w:tcW w:w="333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pPr>
            <w:r w:rsidRPr="009A2F34">
              <w:rPr>
                <w:rFonts w:ascii="Arial" w:hAnsi="Arial" w:cs="Arial"/>
                <w:color w:val="000000"/>
              </w:rPr>
              <w:t>Please share how different this contract (ETI0003) is from the old contract which is still active till 2021? Is ETF is adding more vendors to the current list or this is regular contract renewal?</w:t>
            </w:r>
          </w:p>
        </w:tc>
        <w:tc>
          <w:tcPr>
            <w:tcW w:w="2430" w:type="dxa"/>
            <w:shd w:val="clear" w:color="auto" w:fill="BDD6EE" w:themeFill="accent5" w:themeFillTint="66"/>
            <w:tcMar>
              <w:top w:w="0" w:type="dxa"/>
              <w:left w:w="108" w:type="dxa"/>
              <w:bottom w:w="0" w:type="dxa"/>
              <w:right w:w="108" w:type="dxa"/>
            </w:tcMar>
            <w:hideMark/>
          </w:tcPr>
          <w:p w:rsidR="00DE3275" w:rsidRPr="009A2F34" w:rsidRDefault="00DE3275" w:rsidP="001236AA">
            <w:pPr>
              <w:spacing w:line="276" w:lineRule="auto"/>
              <w:jc w:val="both"/>
            </w:pPr>
            <w:r w:rsidRPr="009A2F34">
              <w:rPr>
                <w:rFonts w:ascii="Arial" w:hAnsi="Arial" w:cs="Arial"/>
              </w:rPr>
              <w:t> </w:t>
            </w:r>
            <w:r w:rsidR="00A77F44" w:rsidRPr="009A2F34">
              <w:rPr>
                <w:rFonts w:ascii="Arial" w:hAnsi="Arial" w:cs="Arial"/>
              </w:rPr>
              <w:t xml:space="preserve">ETF is re-procuring the services. </w:t>
            </w:r>
          </w:p>
        </w:tc>
      </w:tr>
    </w:tbl>
    <w:p w:rsidR="00801F74" w:rsidRPr="009A2F34" w:rsidRDefault="00801F74" w:rsidP="001236AA"/>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5" w:themeFillTint="66"/>
        <w:tblLook w:val="04A0" w:firstRow="1" w:lastRow="0" w:firstColumn="1" w:lastColumn="0" w:noHBand="0" w:noVBand="1"/>
      </w:tblPr>
      <w:tblGrid>
        <w:gridCol w:w="632"/>
        <w:gridCol w:w="1659"/>
        <w:gridCol w:w="1250"/>
        <w:gridCol w:w="3398"/>
        <w:gridCol w:w="2421"/>
      </w:tblGrid>
      <w:tr w:rsidR="004F627E" w:rsidRPr="009A2F34" w:rsidTr="00E17C62">
        <w:tc>
          <w:tcPr>
            <w:tcW w:w="58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lastRenderedPageBreak/>
              <w:t>Q</w:t>
            </w:r>
            <w:r w:rsidR="00AE3B6F" w:rsidRPr="009A2F34">
              <w:rPr>
                <w:rFonts w:ascii="Arial" w:hAnsi="Arial" w:cs="Arial"/>
              </w:rPr>
              <w:t>8</w:t>
            </w:r>
            <w:r w:rsidR="006F3892" w:rsidRPr="009A2F34">
              <w:rPr>
                <w:rFonts w:ascii="Arial" w:hAnsi="Arial" w:cs="Arial"/>
              </w:rPr>
              <w:t>5</w:t>
            </w:r>
          </w:p>
        </w:tc>
        <w:tc>
          <w:tcPr>
            <w:tcW w:w="166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w:t>
            </w: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What is the allocated budget for this RFP?</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BF34A0" w:rsidP="001236AA">
            <w:pPr>
              <w:jc w:val="both"/>
              <w:rPr>
                <w:rFonts w:ascii="Arial" w:hAnsi="Arial" w:cs="Arial"/>
              </w:rPr>
            </w:pPr>
            <w:r>
              <w:rPr>
                <w:rFonts w:ascii="Arial" w:hAnsi="Arial" w:cs="Arial"/>
              </w:rPr>
              <w:t xml:space="preserve">See Q40 and Department Answer. </w:t>
            </w:r>
          </w:p>
        </w:tc>
      </w:tr>
      <w:tr w:rsidR="004F627E" w:rsidRPr="009A2F34" w:rsidTr="00E17C62">
        <w:tc>
          <w:tcPr>
            <w:tcW w:w="58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w:t>
            </w:r>
            <w:r w:rsidR="00AE3B6F" w:rsidRPr="009A2F34">
              <w:rPr>
                <w:rFonts w:ascii="Arial" w:hAnsi="Arial" w:cs="Arial"/>
              </w:rPr>
              <w:t>8</w:t>
            </w:r>
            <w:r w:rsidR="006F3892" w:rsidRPr="009A2F34">
              <w:rPr>
                <w:rFonts w:ascii="Arial" w:hAnsi="Arial" w:cs="Arial"/>
              </w:rPr>
              <w:t>6</w:t>
            </w:r>
          </w:p>
        </w:tc>
        <w:tc>
          <w:tcPr>
            <w:tcW w:w="166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w:t>
            </w: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Is this a follow</w:t>
            </w:r>
            <w:r w:rsidR="00BF34A0">
              <w:rPr>
                <w:rFonts w:ascii="Arial" w:hAnsi="Arial" w:cs="Arial"/>
              </w:rPr>
              <w:t>-</w:t>
            </w:r>
            <w:r w:rsidRPr="009A2F34">
              <w:rPr>
                <w:rFonts w:ascii="Arial" w:hAnsi="Arial" w:cs="Arial"/>
              </w:rPr>
              <w:t>on requirement or a new requirement? If yes, please share incumbent details.</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780266" w:rsidP="001236AA">
            <w:pPr>
              <w:jc w:val="both"/>
              <w:rPr>
                <w:rFonts w:ascii="Arial" w:hAnsi="Arial" w:cs="Arial"/>
              </w:rPr>
            </w:pPr>
            <w:r w:rsidRPr="009A2F34">
              <w:rPr>
                <w:rFonts w:ascii="Arial" w:hAnsi="Arial" w:cs="Arial"/>
              </w:rPr>
              <w:t xml:space="preserve">See Q38 and Department Answer. </w:t>
            </w:r>
          </w:p>
        </w:tc>
      </w:tr>
      <w:tr w:rsidR="004F627E" w:rsidRPr="009A2F34" w:rsidTr="00E17C62">
        <w:tc>
          <w:tcPr>
            <w:tcW w:w="58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w:t>
            </w:r>
            <w:r w:rsidR="00AE3B6F" w:rsidRPr="009A2F34">
              <w:rPr>
                <w:rFonts w:ascii="Arial" w:hAnsi="Arial" w:cs="Arial"/>
              </w:rPr>
              <w:t>8</w:t>
            </w:r>
            <w:r w:rsidR="006F3892" w:rsidRPr="009A2F34">
              <w:rPr>
                <w:rFonts w:ascii="Arial" w:hAnsi="Arial" w:cs="Arial"/>
              </w:rPr>
              <w:t>7</w:t>
            </w:r>
          </w:p>
        </w:tc>
        <w:tc>
          <w:tcPr>
            <w:tcW w:w="166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2.4 Proposal Organization and Format</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12</w:t>
            </w: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Tab 1 of Section 4 asks us to submit an Appendix 3 – Subcontractor Information. We would like to confirm if there is any subcontracting goal for this RFP, as we are unable to identify this requirement.</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2D7EE7" w:rsidP="001236AA">
            <w:pPr>
              <w:jc w:val="both"/>
              <w:rPr>
                <w:rFonts w:ascii="Arial" w:hAnsi="Arial" w:cs="Arial"/>
              </w:rPr>
            </w:pPr>
            <w:r w:rsidRPr="009A2F34">
              <w:rPr>
                <w:rFonts w:ascii="Arial" w:hAnsi="Arial" w:cs="Arial"/>
              </w:rPr>
              <w:t>No. In addition to subcontractors, Appendix 3 is also where you list everyone who authored the proposal.</w:t>
            </w:r>
          </w:p>
        </w:tc>
      </w:tr>
      <w:tr w:rsidR="004F627E" w:rsidRPr="009A2F34" w:rsidTr="00E17C62">
        <w:tc>
          <w:tcPr>
            <w:tcW w:w="58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w:t>
            </w:r>
            <w:r w:rsidR="00AE3B6F" w:rsidRPr="009A2F34">
              <w:rPr>
                <w:rFonts w:ascii="Arial" w:hAnsi="Arial" w:cs="Arial"/>
              </w:rPr>
              <w:t>8</w:t>
            </w:r>
            <w:r w:rsidR="006F3892" w:rsidRPr="009A2F34">
              <w:rPr>
                <w:rFonts w:ascii="Arial" w:hAnsi="Arial" w:cs="Arial"/>
              </w:rPr>
              <w:t>8</w:t>
            </w:r>
          </w:p>
        </w:tc>
        <w:tc>
          <w:tcPr>
            <w:tcW w:w="166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2.4 Proposal Organization and Format</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12</w:t>
            </w: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Tab 1 of Section 4 asks us to submit a Transmittal Letter.</w:t>
            </w:r>
          </w:p>
          <w:p w:rsidR="004F627E" w:rsidRPr="009A2F34" w:rsidRDefault="004F627E" w:rsidP="001236AA">
            <w:pPr>
              <w:jc w:val="both"/>
              <w:rPr>
                <w:rFonts w:ascii="Arial" w:hAnsi="Arial" w:cs="Arial"/>
              </w:rPr>
            </w:pPr>
            <w:r w:rsidRPr="009A2F34">
              <w:rPr>
                <w:rFonts w:ascii="Arial" w:hAnsi="Arial" w:cs="Arial"/>
              </w:rPr>
              <w:t xml:space="preserve">This section asks us to include ETI0003. Do we just need to include RFP number here or it is a typo? </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780266" w:rsidP="001236AA">
            <w:pPr>
              <w:jc w:val="both"/>
              <w:rPr>
                <w:rFonts w:ascii="Arial" w:hAnsi="Arial" w:cs="Arial"/>
              </w:rPr>
            </w:pPr>
            <w:r w:rsidRPr="009A2F34">
              <w:rPr>
                <w:rFonts w:ascii="Arial" w:hAnsi="Arial" w:cs="Arial"/>
              </w:rPr>
              <w:t xml:space="preserve">Yes, include the RFP number in your transmittal letter. </w:t>
            </w:r>
          </w:p>
        </w:tc>
      </w:tr>
      <w:tr w:rsidR="004F627E" w:rsidRPr="00FC582C" w:rsidTr="00E17C62">
        <w:tc>
          <w:tcPr>
            <w:tcW w:w="588"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Q</w:t>
            </w:r>
            <w:r w:rsidR="00AE3B6F" w:rsidRPr="009A2F34">
              <w:rPr>
                <w:rFonts w:ascii="Arial" w:hAnsi="Arial" w:cs="Arial"/>
              </w:rPr>
              <w:t>8</w:t>
            </w:r>
            <w:r w:rsidR="006F3892" w:rsidRPr="009A2F34">
              <w:rPr>
                <w:rFonts w:ascii="Arial" w:hAnsi="Arial" w:cs="Arial"/>
              </w:rPr>
              <w:t>9</w:t>
            </w:r>
          </w:p>
        </w:tc>
        <w:tc>
          <w:tcPr>
            <w:tcW w:w="1662"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4.6 References</w:t>
            </w:r>
          </w:p>
        </w:tc>
        <w:tc>
          <w:tcPr>
            <w:tcW w:w="126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19</w:t>
            </w:r>
          </w:p>
        </w:tc>
        <w:tc>
          <w:tcPr>
            <w:tcW w:w="342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9A2F34" w:rsidRDefault="004F627E" w:rsidP="001236AA">
            <w:pPr>
              <w:jc w:val="both"/>
              <w:rPr>
                <w:rFonts w:ascii="Arial" w:hAnsi="Arial" w:cs="Arial"/>
              </w:rPr>
            </w:pPr>
            <w:r w:rsidRPr="009A2F34">
              <w:rPr>
                <w:rFonts w:ascii="Arial" w:hAnsi="Arial" w:cs="Arial"/>
              </w:rPr>
              <w:t>RFP document states “At least one (1) reference from a government entity is preferred.”</w:t>
            </w:r>
          </w:p>
          <w:p w:rsidR="004F627E" w:rsidRPr="009A2F34" w:rsidRDefault="004F627E" w:rsidP="001236AA">
            <w:pPr>
              <w:jc w:val="both"/>
              <w:rPr>
                <w:rFonts w:ascii="Arial" w:hAnsi="Arial" w:cs="Arial"/>
              </w:rPr>
            </w:pPr>
            <w:r w:rsidRPr="009A2F34">
              <w:rPr>
                <w:rFonts w:ascii="Arial" w:hAnsi="Arial" w:cs="Arial"/>
              </w:rPr>
              <w:t>If we will submit all 3 references from non-government entities, will we be considered for evaluation?</w:t>
            </w:r>
          </w:p>
          <w:p w:rsidR="004F627E" w:rsidRPr="009A2F34" w:rsidRDefault="004F627E" w:rsidP="001236AA">
            <w:pPr>
              <w:jc w:val="both"/>
              <w:rPr>
                <w:rFonts w:ascii="Arial" w:hAnsi="Arial" w:cs="Arial"/>
              </w:rPr>
            </w:pPr>
            <w:r w:rsidRPr="009A2F34">
              <w:rPr>
                <w:rFonts w:ascii="Arial" w:hAnsi="Arial" w:cs="Arial"/>
              </w:rPr>
              <w:t>Or does it mean that we can be scored less for third (3</w:t>
            </w:r>
            <w:r w:rsidRPr="009A2F34">
              <w:rPr>
                <w:rFonts w:ascii="Arial" w:hAnsi="Arial" w:cs="Arial"/>
                <w:vertAlign w:val="superscript"/>
              </w:rPr>
              <w:t>rd</w:t>
            </w:r>
            <w:r w:rsidRPr="009A2F34">
              <w:rPr>
                <w:rFonts w:ascii="Arial" w:hAnsi="Arial" w:cs="Arial"/>
              </w:rPr>
              <w:t>) reference.</w:t>
            </w:r>
          </w:p>
        </w:tc>
        <w:tc>
          <w:tcPr>
            <w:tcW w:w="2430" w:type="dxa"/>
            <w:tcBorders>
              <w:top w:val="single" w:sz="4" w:space="0" w:color="FFFFFF"/>
              <w:left w:val="single" w:sz="4" w:space="0" w:color="FFFFFF"/>
              <w:bottom w:val="single" w:sz="4" w:space="0" w:color="FFFFFF"/>
              <w:right w:val="single" w:sz="4" w:space="0" w:color="FFFFFF"/>
            </w:tcBorders>
            <w:shd w:val="clear" w:color="auto" w:fill="BDD6EE" w:themeFill="accent5" w:themeFillTint="66"/>
          </w:tcPr>
          <w:p w:rsidR="004F627E" w:rsidRPr="00283A0B" w:rsidRDefault="00780266" w:rsidP="001236AA">
            <w:pPr>
              <w:jc w:val="both"/>
              <w:rPr>
                <w:rFonts w:ascii="Arial" w:hAnsi="Arial" w:cs="Arial"/>
              </w:rPr>
            </w:pPr>
            <w:r w:rsidRPr="009A2F34">
              <w:rPr>
                <w:rFonts w:ascii="Arial" w:hAnsi="Arial" w:cs="Arial"/>
              </w:rPr>
              <w:t>It means you can be scored less for not having a government reference.</w:t>
            </w:r>
            <w:r>
              <w:rPr>
                <w:rFonts w:ascii="Arial" w:hAnsi="Arial" w:cs="Arial"/>
              </w:rPr>
              <w:t xml:space="preserve"> </w:t>
            </w:r>
          </w:p>
        </w:tc>
      </w:tr>
    </w:tbl>
    <w:p w:rsidR="00801F74" w:rsidRDefault="00801F74" w:rsidP="009D7B86"/>
    <w:sectPr w:rsidR="00801F74" w:rsidSect="004779D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BBB" w:rsidRDefault="00170BBB" w:rsidP="00083AE0">
      <w:pPr>
        <w:spacing w:before="0" w:after="0"/>
      </w:pPr>
      <w:r>
        <w:separator/>
      </w:r>
    </w:p>
  </w:endnote>
  <w:endnote w:type="continuationSeparator" w:id="0">
    <w:p w:rsidR="00170BBB" w:rsidRDefault="00170BBB" w:rsidP="00083A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BBB" w:rsidRDefault="00170BBB" w:rsidP="00873334">
    <w:pPr>
      <w:pStyle w:val="Footer"/>
      <w:rPr>
        <w:rFonts w:ascii="Arial" w:hAnsi="Arial" w:cs="Arial"/>
        <w:sz w:val="18"/>
        <w:szCs w:val="18"/>
      </w:rPr>
    </w:pPr>
    <w:r w:rsidRPr="00A7498B">
      <w:rPr>
        <w:rFonts w:ascii="Arial" w:hAnsi="Arial" w:cs="Arial"/>
        <w:sz w:val="18"/>
        <w:szCs w:val="18"/>
      </w:rPr>
      <w:t>ET</w:t>
    </w:r>
    <w:r>
      <w:rPr>
        <w:rFonts w:ascii="Arial" w:hAnsi="Arial" w:cs="Arial"/>
        <w:sz w:val="18"/>
        <w:szCs w:val="18"/>
      </w:rPr>
      <w:t>I0003 – Questions and Answers</w:t>
    </w:r>
  </w:p>
  <w:sdt>
    <w:sdtPr>
      <w:id w:val="-1636089632"/>
      <w:docPartObj>
        <w:docPartGallery w:val="Page Numbers (Bottom of Page)"/>
        <w:docPartUnique/>
      </w:docPartObj>
    </w:sdtPr>
    <w:sdtContent>
      <w:sdt>
        <w:sdtPr>
          <w:id w:val="-1705238520"/>
          <w:docPartObj>
            <w:docPartGallery w:val="Page Numbers (Top of Page)"/>
            <w:docPartUnique/>
          </w:docPartObj>
        </w:sdtPr>
        <w:sdtContent>
          <w:p w:rsidR="00170BBB" w:rsidRDefault="00170BBB">
            <w:pPr>
              <w:pStyle w:val="Footer"/>
            </w:pPr>
            <w:r w:rsidRPr="00873334">
              <w:rPr>
                <w:rFonts w:ascii="Arial" w:hAnsi="Arial" w:cs="Arial"/>
                <w:sz w:val="18"/>
                <w:szCs w:val="18"/>
              </w:rPr>
              <w:t xml:space="preserve">Page </w:t>
            </w:r>
            <w:r w:rsidRPr="00873334">
              <w:rPr>
                <w:rFonts w:ascii="Arial" w:hAnsi="Arial" w:cs="Arial"/>
                <w:sz w:val="18"/>
                <w:szCs w:val="18"/>
              </w:rPr>
              <w:fldChar w:fldCharType="begin"/>
            </w:r>
            <w:r w:rsidRPr="00873334">
              <w:rPr>
                <w:rFonts w:ascii="Arial" w:hAnsi="Arial" w:cs="Arial"/>
                <w:sz w:val="18"/>
                <w:szCs w:val="18"/>
              </w:rPr>
              <w:instrText xml:space="preserve"> PAGE </w:instrText>
            </w:r>
            <w:r w:rsidRPr="00873334">
              <w:rPr>
                <w:rFonts w:ascii="Arial" w:hAnsi="Arial" w:cs="Arial"/>
                <w:sz w:val="18"/>
                <w:szCs w:val="18"/>
              </w:rPr>
              <w:fldChar w:fldCharType="separate"/>
            </w:r>
            <w:r w:rsidRPr="00873334">
              <w:rPr>
                <w:rFonts w:ascii="Arial" w:hAnsi="Arial" w:cs="Arial"/>
                <w:noProof/>
                <w:sz w:val="18"/>
                <w:szCs w:val="18"/>
              </w:rPr>
              <w:t>2</w:t>
            </w:r>
            <w:r w:rsidRPr="00873334">
              <w:rPr>
                <w:rFonts w:ascii="Arial" w:hAnsi="Arial" w:cs="Arial"/>
                <w:sz w:val="18"/>
                <w:szCs w:val="18"/>
              </w:rPr>
              <w:fldChar w:fldCharType="end"/>
            </w:r>
            <w:r w:rsidRPr="00873334">
              <w:rPr>
                <w:rFonts w:ascii="Arial" w:hAnsi="Arial" w:cs="Arial"/>
                <w:sz w:val="18"/>
                <w:szCs w:val="18"/>
              </w:rPr>
              <w:t xml:space="preserve"> of </w:t>
            </w:r>
            <w:r w:rsidRPr="00873334">
              <w:rPr>
                <w:rFonts w:ascii="Arial" w:hAnsi="Arial" w:cs="Arial"/>
                <w:sz w:val="18"/>
                <w:szCs w:val="18"/>
              </w:rPr>
              <w:fldChar w:fldCharType="begin"/>
            </w:r>
            <w:r w:rsidRPr="00873334">
              <w:rPr>
                <w:rFonts w:ascii="Arial" w:hAnsi="Arial" w:cs="Arial"/>
                <w:sz w:val="18"/>
                <w:szCs w:val="18"/>
              </w:rPr>
              <w:instrText xml:space="preserve"> NUMPAGES  </w:instrText>
            </w:r>
            <w:r w:rsidRPr="00873334">
              <w:rPr>
                <w:rFonts w:ascii="Arial" w:hAnsi="Arial" w:cs="Arial"/>
                <w:sz w:val="18"/>
                <w:szCs w:val="18"/>
              </w:rPr>
              <w:fldChar w:fldCharType="separate"/>
            </w:r>
            <w:r w:rsidRPr="00873334">
              <w:rPr>
                <w:rFonts w:ascii="Arial" w:hAnsi="Arial" w:cs="Arial"/>
                <w:noProof/>
                <w:sz w:val="18"/>
                <w:szCs w:val="18"/>
              </w:rPr>
              <w:t>2</w:t>
            </w:r>
            <w:r w:rsidRPr="00873334">
              <w:rPr>
                <w:rFonts w:ascii="Arial" w:hAnsi="Arial" w:cs="Arial"/>
                <w:sz w:val="18"/>
                <w:szCs w:val="18"/>
              </w:rPr>
              <w:fldChar w:fldCharType="end"/>
            </w:r>
          </w:p>
        </w:sdtContent>
      </w:sdt>
    </w:sdtContent>
  </w:sdt>
  <w:p w:rsidR="00170BBB" w:rsidRPr="00873334" w:rsidRDefault="00170BBB" w:rsidP="0087333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BBB" w:rsidRDefault="00170BBB" w:rsidP="00083AE0">
      <w:pPr>
        <w:spacing w:before="0" w:after="0"/>
      </w:pPr>
      <w:r>
        <w:separator/>
      </w:r>
    </w:p>
  </w:footnote>
  <w:footnote w:type="continuationSeparator" w:id="0">
    <w:p w:rsidR="00170BBB" w:rsidRDefault="00170BBB" w:rsidP="00083A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BBB" w:rsidRDefault="00170BBB" w:rsidP="00083AE0">
    <w:pPr>
      <w:pStyle w:val="Default"/>
      <w:jc w:val="center"/>
      <w:rPr>
        <w:sz w:val="20"/>
        <w:szCs w:val="20"/>
      </w:rPr>
    </w:pPr>
    <w:bookmarkStart w:id="8" w:name="_Hlk512849732"/>
    <w:r w:rsidRPr="00F95E99">
      <w:rPr>
        <w:b/>
        <w:noProof/>
      </w:rPr>
      <w:drawing>
        <wp:anchor distT="0" distB="0" distL="114300" distR="114300" simplePos="0" relativeHeight="251659264" behindDoc="0" locked="0" layoutInCell="1" allowOverlap="1" wp14:anchorId="4CED87BA" wp14:editId="4F7CC768">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Funds</w:t>
    </w:r>
  </w:p>
  <w:p w:rsidR="00170BBB" w:rsidRDefault="00170BBB" w:rsidP="00083AE0">
    <w:pPr>
      <w:pStyle w:val="Default"/>
      <w:jc w:val="center"/>
      <w:rPr>
        <w:sz w:val="20"/>
        <w:szCs w:val="20"/>
      </w:rPr>
    </w:pPr>
    <w:r>
      <w:rPr>
        <w:sz w:val="20"/>
        <w:szCs w:val="20"/>
      </w:rPr>
      <w:t>P.O. Box 7931</w:t>
    </w:r>
  </w:p>
  <w:p w:rsidR="00170BBB" w:rsidRDefault="00170BBB" w:rsidP="00083AE0">
    <w:pPr>
      <w:pStyle w:val="Default"/>
      <w:jc w:val="center"/>
      <w:rPr>
        <w:sz w:val="20"/>
        <w:szCs w:val="20"/>
      </w:rPr>
    </w:pPr>
    <w:r>
      <w:rPr>
        <w:sz w:val="20"/>
        <w:szCs w:val="20"/>
      </w:rPr>
      <w:t>Madison, WI 53707-7931</w:t>
    </w:r>
  </w:p>
  <w:p w:rsidR="00170BBB" w:rsidRDefault="00170BBB" w:rsidP="00083AE0">
    <w:pPr>
      <w:spacing w:after="0"/>
      <w:ind w:hanging="10"/>
      <w:jc w:val="center"/>
      <w:rPr>
        <w:rFonts w:ascii="Arial" w:eastAsia="Arial" w:hAnsi="Arial" w:cs="Arial"/>
        <w:b/>
        <w:color w:val="2E74B5" w:themeColor="accent5" w:themeShade="BF"/>
        <w:sz w:val="28"/>
      </w:rPr>
    </w:pPr>
    <w:r>
      <w:rPr>
        <w:rFonts w:ascii="Arial" w:eastAsia="Arial" w:hAnsi="Arial" w:cs="Arial"/>
        <w:b/>
        <w:color w:val="2E74B5" w:themeColor="accent5" w:themeShade="BF"/>
        <w:sz w:val="28"/>
      </w:rPr>
      <w:t>ETI0003</w:t>
    </w:r>
  </w:p>
  <w:p w:rsidR="00170BBB" w:rsidRPr="00BA1D4B" w:rsidRDefault="00170BBB" w:rsidP="00083AE0">
    <w:pPr>
      <w:spacing w:after="0"/>
      <w:ind w:hanging="10"/>
      <w:jc w:val="center"/>
      <w:rPr>
        <w:color w:val="2E74B5" w:themeColor="accent5" w:themeShade="BF"/>
      </w:rPr>
    </w:pPr>
    <w:r>
      <w:rPr>
        <w:rFonts w:ascii="Arial" w:eastAsia="Arial" w:hAnsi="Arial" w:cs="Arial"/>
        <w:b/>
        <w:color w:val="2E74B5" w:themeColor="accent5" w:themeShade="BF"/>
        <w:sz w:val="28"/>
      </w:rPr>
      <w:t>Questions and Answers</w:t>
    </w:r>
  </w:p>
  <w:bookmarkEnd w:id="8"/>
  <w:p w:rsidR="00170BBB" w:rsidRPr="00BA1D4B" w:rsidRDefault="00170BBB" w:rsidP="00083AE0">
    <w:pPr>
      <w:spacing w:after="35"/>
      <w:ind w:right="4" w:hanging="10"/>
      <w:jc w:val="center"/>
      <w:rPr>
        <w:color w:val="2E74B5" w:themeColor="accent5" w:themeShade="BF"/>
      </w:rPr>
    </w:pPr>
  </w:p>
  <w:p w:rsidR="00170BBB" w:rsidRDefault="0017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C79E2"/>
    <w:multiLevelType w:val="hybridMultilevel"/>
    <w:tmpl w:val="48D4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270BA"/>
    <w:multiLevelType w:val="hybridMultilevel"/>
    <w:tmpl w:val="B250555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 w15:restartNumberingAfterBreak="0">
    <w:nsid w:val="373C4372"/>
    <w:multiLevelType w:val="multilevel"/>
    <w:tmpl w:val="3B2C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E0"/>
    <w:rsid w:val="0000132A"/>
    <w:rsid w:val="000032BF"/>
    <w:rsid w:val="000144D6"/>
    <w:rsid w:val="0002474E"/>
    <w:rsid w:val="00053FAE"/>
    <w:rsid w:val="000612F6"/>
    <w:rsid w:val="00070033"/>
    <w:rsid w:val="000833DD"/>
    <w:rsid w:val="00083AE0"/>
    <w:rsid w:val="00097293"/>
    <w:rsid w:val="000B73CA"/>
    <w:rsid w:val="000D5C5C"/>
    <w:rsid w:val="000F4919"/>
    <w:rsid w:val="001236AA"/>
    <w:rsid w:val="00134BC9"/>
    <w:rsid w:val="00143A2C"/>
    <w:rsid w:val="00170BBB"/>
    <w:rsid w:val="0018071D"/>
    <w:rsid w:val="00194527"/>
    <w:rsid w:val="001979F2"/>
    <w:rsid w:val="001B2869"/>
    <w:rsid w:val="001D798B"/>
    <w:rsid w:val="001F6082"/>
    <w:rsid w:val="001F7F09"/>
    <w:rsid w:val="002129B3"/>
    <w:rsid w:val="00217899"/>
    <w:rsid w:val="00217A5A"/>
    <w:rsid w:val="00236A6F"/>
    <w:rsid w:val="002450B9"/>
    <w:rsid w:val="002D7EE7"/>
    <w:rsid w:val="002E7B40"/>
    <w:rsid w:val="002F2962"/>
    <w:rsid w:val="00303938"/>
    <w:rsid w:val="003125A2"/>
    <w:rsid w:val="00316B53"/>
    <w:rsid w:val="00327743"/>
    <w:rsid w:val="00330ECE"/>
    <w:rsid w:val="00331559"/>
    <w:rsid w:val="003331C7"/>
    <w:rsid w:val="00350A8A"/>
    <w:rsid w:val="00383C9F"/>
    <w:rsid w:val="0039061C"/>
    <w:rsid w:val="003A726D"/>
    <w:rsid w:val="003C7BD1"/>
    <w:rsid w:val="003E3ADB"/>
    <w:rsid w:val="00420E22"/>
    <w:rsid w:val="00425957"/>
    <w:rsid w:val="00450040"/>
    <w:rsid w:val="004779DA"/>
    <w:rsid w:val="00487DC9"/>
    <w:rsid w:val="004A11DD"/>
    <w:rsid w:val="004B2D71"/>
    <w:rsid w:val="004D4929"/>
    <w:rsid w:val="004E0F0B"/>
    <w:rsid w:val="004E35A4"/>
    <w:rsid w:val="004E66CD"/>
    <w:rsid w:val="004F627E"/>
    <w:rsid w:val="00515C49"/>
    <w:rsid w:val="00527D7F"/>
    <w:rsid w:val="005363D0"/>
    <w:rsid w:val="005464B1"/>
    <w:rsid w:val="005533E1"/>
    <w:rsid w:val="005607CD"/>
    <w:rsid w:val="005B0D09"/>
    <w:rsid w:val="005D3A3E"/>
    <w:rsid w:val="005E4DC7"/>
    <w:rsid w:val="00612201"/>
    <w:rsid w:val="006319AC"/>
    <w:rsid w:val="00632065"/>
    <w:rsid w:val="00635EBE"/>
    <w:rsid w:val="00683283"/>
    <w:rsid w:val="00683BC6"/>
    <w:rsid w:val="00690830"/>
    <w:rsid w:val="006925BB"/>
    <w:rsid w:val="006978E1"/>
    <w:rsid w:val="006A55B8"/>
    <w:rsid w:val="006C7173"/>
    <w:rsid w:val="006D7F87"/>
    <w:rsid w:val="006E610D"/>
    <w:rsid w:val="006F3892"/>
    <w:rsid w:val="00702A8D"/>
    <w:rsid w:val="00740723"/>
    <w:rsid w:val="00746382"/>
    <w:rsid w:val="00780266"/>
    <w:rsid w:val="00783F5B"/>
    <w:rsid w:val="007B5D59"/>
    <w:rsid w:val="007C53BF"/>
    <w:rsid w:val="007D7706"/>
    <w:rsid w:val="007E3363"/>
    <w:rsid w:val="00801F74"/>
    <w:rsid w:val="00807106"/>
    <w:rsid w:val="00861CDC"/>
    <w:rsid w:val="00865CFC"/>
    <w:rsid w:val="008717FB"/>
    <w:rsid w:val="00873334"/>
    <w:rsid w:val="008A5466"/>
    <w:rsid w:val="008F0224"/>
    <w:rsid w:val="008F3357"/>
    <w:rsid w:val="008F7A4A"/>
    <w:rsid w:val="00903AF0"/>
    <w:rsid w:val="00905BE6"/>
    <w:rsid w:val="0091220F"/>
    <w:rsid w:val="00914421"/>
    <w:rsid w:val="00961A7E"/>
    <w:rsid w:val="009A2F34"/>
    <w:rsid w:val="009A382B"/>
    <w:rsid w:val="009C13B8"/>
    <w:rsid w:val="009D0487"/>
    <w:rsid w:val="009D47E1"/>
    <w:rsid w:val="009D7B86"/>
    <w:rsid w:val="009E4744"/>
    <w:rsid w:val="00A756F9"/>
    <w:rsid w:val="00A77F44"/>
    <w:rsid w:val="00A91414"/>
    <w:rsid w:val="00A939AF"/>
    <w:rsid w:val="00A9652A"/>
    <w:rsid w:val="00AA6776"/>
    <w:rsid w:val="00AA6786"/>
    <w:rsid w:val="00AA797B"/>
    <w:rsid w:val="00AC443E"/>
    <w:rsid w:val="00AE3B6F"/>
    <w:rsid w:val="00B025EA"/>
    <w:rsid w:val="00B11205"/>
    <w:rsid w:val="00B21510"/>
    <w:rsid w:val="00B21C65"/>
    <w:rsid w:val="00B46585"/>
    <w:rsid w:val="00B6532A"/>
    <w:rsid w:val="00BB23C6"/>
    <w:rsid w:val="00BE2B5D"/>
    <w:rsid w:val="00BF34A0"/>
    <w:rsid w:val="00C26597"/>
    <w:rsid w:val="00C32AC2"/>
    <w:rsid w:val="00C61448"/>
    <w:rsid w:val="00C7215A"/>
    <w:rsid w:val="00C74A5B"/>
    <w:rsid w:val="00CA5678"/>
    <w:rsid w:val="00CB62A0"/>
    <w:rsid w:val="00CC0601"/>
    <w:rsid w:val="00CD5308"/>
    <w:rsid w:val="00D05E3E"/>
    <w:rsid w:val="00D21C69"/>
    <w:rsid w:val="00D5412D"/>
    <w:rsid w:val="00DB1A5A"/>
    <w:rsid w:val="00DB6CCC"/>
    <w:rsid w:val="00DC2293"/>
    <w:rsid w:val="00DC2CA5"/>
    <w:rsid w:val="00DC6458"/>
    <w:rsid w:val="00DC70FA"/>
    <w:rsid w:val="00DD0D17"/>
    <w:rsid w:val="00DE3275"/>
    <w:rsid w:val="00E049D9"/>
    <w:rsid w:val="00E160DE"/>
    <w:rsid w:val="00E17C62"/>
    <w:rsid w:val="00E25EC6"/>
    <w:rsid w:val="00E27565"/>
    <w:rsid w:val="00E4304B"/>
    <w:rsid w:val="00E4550A"/>
    <w:rsid w:val="00E4674E"/>
    <w:rsid w:val="00E50591"/>
    <w:rsid w:val="00E974E6"/>
    <w:rsid w:val="00EB214D"/>
    <w:rsid w:val="00EB5A2A"/>
    <w:rsid w:val="00EC0B99"/>
    <w:rsid w:val="00EE59E2"/>
    <w:rsid w:val="00EF7070"/>
    <w:rsid w:val="00F036A2"/>
    <w:rsid w:val="00F264B5"/>
    <w:rsid w:val="00F26D88"/>
    <w:rsid w:val="00F309C0"/>
    <w:rsid w:val="00F40DEE"/>
    <w:rsid w:val="00F91921"/>
    <w:rsid w:val="00FA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53A094"/>
  <w15:chartTrackingRefBased/>
  <w15:docId w15:val="{B72913D6-AFAD-415D-A5AB-15CEAAFB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AE0"/>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E0"/>
    <w:pPr>
      <w:tabs>
        <w:tab w:val="center" w:pos="4680"/>
        <w:tab w:val="right" w:pos="9360"/>
      </w:tabs>
      <w:spacing w:before="0" w:after="0"/>
    </w:pPr>
  </w:style>
  <w:style w:type="character" w:customStyle="1" w:styleId="HeaderChar">
    <w:name w:val="Header Char"/>
    <w:basedOn w:val="DefaultParagraphFont"/>
    <w:link w:val="Header"/>
    <w:uiPriority w:val="99"/>
    <w:rsid w:val="00083AE0"/>
    <w:rPr>
      <w:rFonts w:ascii="Times New Roman" w:eastAsia="Times New Roman" w:hAnsi="Times New Roman" w:cs="Times New Roman"/>
    </w:rPr>
  </w:style>
  <w:style w:type="paragraph" w:styleId="Footer">
    <w:name w:val="footer"/>
    <w:basedOn w:val="Normal"/>
    <w:link w:val="FooterChar"/>
    <w:uiPriority w:val="99"/>
    <w:unhideWhenUsed/>
    <w:rsid w:val="00083AE0"/>
    <w:pPr>
      <w:tabs>
        <w:tab w:val="center" w:pos="4680"/>
        <w:tab w:val="right" w:pos="9360"/>
      </w:tabs>
      <w:spacing w:before="0" w:after="0"/>
    </w:pPr>
  </w:style>
  <w:style w:type="character" w:customStyle="1" w:styleId="FooterChar">
    <w:name w:val="Footer Char"/>
    <w:basedOn w:val="DefaultParagraphFont"/>
    <w:link w:val="Footer"/>
    <w:uiPriority w:val="99"/>
    <w:rsid w:val="00083AE0"/>
    <w:rPr>
      <w:rFonts w:ascii="Times New Roman" w:eastAsia="Times New Roman" w:hAnsi="Times New Roman" w:cs="Times New Roman"/>
    </w:rPr>
  </w:style>
  <w:style w:type="paragraph" w:customStyle="1" w:styleId="Default">
    <w:name w:val="Default"/>
    <w:rsid w:val="00083A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B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D09"/>
    <w:pPr>
      <w:spacing w:before="0"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E3275"/>
    <w:rPr>
      <w:color w:val="0563C1"/>
      <w:u w:val="single"/>
    </w:rPr>
  </w:style>
  <w:style w:type="paragraph" w:customStyle="1" w:styleId="gmail-default">
    <w:name w:val="gmail-default"/>
    <w:basedOn w:val="Normal"/>
    <w:rsid w:val="00DE3275"/>
    <w:pPr>
      <w:spacing w:before="100" w:beforeAutospacing="1" w:after="100" w:afterAutospacing="1"/>
    </w:pPr>
    <w:rPr>
      <w:rFonts w:ascii="Calibri" w:eastAsiaTheme="minorHAnsi" w:hAnsi="Calibri" w:cs="Calibri"/>
    </w:rPr>
  </w:style>
  <w:style w:type="paragraph" w:styleId="BalloonText">
    <w:name w:val="Balloon Text"/>
    <w:basedOn w:val="Normal"/>
    <w:link w:val="BalloonTextChar"/>
    <w:uiPriority w:val="99"/>
    <w:semiHidden/>
    <w:unhideWhenUsed/>
    <w:rsid w:val="00CA56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78"/>
    <w:rPr>
      <w:rFonts w:ascii="Segoe UI" w:eastAsia="Times New Roman" w:hAnsi="Segoe UI" w:cs="Segoe UI"/>
      <w:sz w:val="18"/>
      <w:szCs w:val="18"/>
    </w:rPr>
  </w:style>
  <w:style w:type="paragraph" w:customStyle="1" w:styleId="LRWLBodyText">
    <w:name w:val="LRWL Body Text"/>
    <w:basedOn w:val="Normal"/>
    <w:link w:val="LRWLBodyTextChar"/>
    <w:qFormat/>
    <w:rsid w:val="00CA5678"/>
    <w:rPr>
      <w:rFonts w:ascii="Arial" w:hAnsi="Arial"/>
    </w:rPr>
  </w:style>
  <w:style w:type="character" w:customStyle="1" w:styleId="LRWLBodyTextChar">
    <w:name w:val="LRWL Body Text Char"/>
    <w:basedOn w:val="DefaultParagraphFont"/>
    <w:link w:val="LRWLBodyText"/>
    <w:rsid w:val="00CA5678"/>
    <w:rPr>
      <w:rFonts w:ascii="Arial" w:eastAsia="Times New Roman" w:hAnsi="Arial" w:cs="Times New Roman"/>
    </w:rPr>
  </w:style>
  <w:style w:type="character" w:styleId="UnresolvedMention">
    <w:name w:val="Unresolved Mention"/>
    <w:basedOn w:val="DefaultParagraphFont"/>
    <w:uiPriority w:val="99"/>
    <w:semiHidden/>
    <w:unhideWhenUsed/>
    <w:rsid w:val="00C26597"/>
    <w:rPr>
      <w:color w:val="605E5C"/>
      <w:shd w:val="clear" w:color="auto" w:fill="E1DFDD"/>
    </w:rPr>
  </w:style>
  <w:style w:type="character" w:styleId="FollowedHyperlink">
    <w:name w:val="FollowedHyperlink"/>
    <w:basedOn w:val="DefaultParagraphFont"/>
    <w:uiPriority w:val="99"/>
    <w:semiHidden/>
    <w:unhideWhenUsed/>
    <w:rsid w:val="00C26597"/>
    <w:rPr>
      <w:color w:val="954F72" w:themeColor="followedHyperlink"/>
      <w:u w:val="single"/>
    </w:rPr>
  </w:style>
  <w:style w:type="paragraph" w:customStyle="1" w:styleId="LRWLBodyTextNumber1">
    <w:name w:val="LRWL Body Text Number 1"/>
    <w:basedOn w:val="Normal"/>
    <w:link w:val="LRWLBodyTextNumber1Char"/>
    <w:qFormat/>
    <w:rsid w:val="004E66CD"/>
    <w:rPr>
      <w:rFonts w:ascii="Arial" w:hAnsi="Arial"/>
      <w:sz w:val="21"/>
    </w:rPr>
  </w:style>
  <w:style w:type="character" w:customStyle="1" w:styleId="LRWLBodyTextNumber1Char">
    <w:name w:val="LRWL Body Text Number 1 Char"/>
    <w:basedOn w:val="DefaultParagraphFont"/>
    <w:link w:val="LRWLBodyTextNumber1"/>
    <w:rsid w:val="004E66CD"/>
    <w:rPr>
      <w:rFonts w:ascii="Arial" w:eastAsia="Times New Roman"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68">
      <w:bodyDiv w:val="1"/>
      <w:marLeft w:val="0"/>
      <w:marRight w:val="0"/>
      <w:marTop w:val="0"/>
      <w:marBottom w:val="0"/>
      <w:divBdr>
        <w:top w:val="none" w:sz="0" w:space="0" w:color="auto"/>
        <w:left w:val="none" w:sz="0" w:space="0" w:color="auto"/>
        <w:bottom w:val="none" w:sz="0" w:space="0" w:color="auto"/>
        <w:right w:val="none" w:sz="0" w:space="0" w:color="auto"/>
      </w:divBdr>
    </w:div>
    <w:div w:id="234778742">
      <w:bodyDiv w:val="1"/>
      <w:marLeft w:val="0"/>
      <w:marRight w:val="0"/>
      <w:marTop w:val="0"/>
      <w:marBottom w:val="0"/>
      <w:divBdr>
        <w:top w:val="none" w:sz="0" w:space="0" w:color="auto"/>
        <w:left w:val="none" w:sz="0" w:space="0" w:color="auto"/>
        <w:bottom w:val="none" w:sz="0" w:space="0" w:color="auto"/>
        <w:right w:val="none" w:sz="0" w:space="0" w:color="auto"/>
      </w:divBdr>
    </w:div>
    <w:div w:id="248387073">
      <w:bodyDiv w:val="1"/>
      <w:marLeft w:val="0"/>
      <w:marRight w:val="0"/>
      <w:marTop w:val="0"/>
      <w:marBottom w:val="0"/>
      <w:divBdr>
        <w:top w:val="none" w:sz="0" w:space="0" w:color="auto"/>
        <w:left w:val="none" w:sz="0" w:space="0" w:color="auto"/>
        <w:bottom w:val="none" w:sz="0" w:space="0" w:color="auto"/>
        <w:right w:val="none" w:sz="0" w:space="0" w:color="auto"/>
      </w:divBdr>
    </w:div>
    <w:div w:id="280574511">
      <w:bodyDiv w:val="1"/>
      <w:marLeft w:val="0"/>
      <w:marRight w:val="0"/>
      <w:marTop w:val="0"/>
      <w:marBottom w:val="0"/>
      <w:divBdr>
        <w:top w:val="none" w:sz="0" w:space="0" w:color="auto"/>
        <w:left w:val="none" w:sz="0" w:space="0" w:color="auto"/>
        <w:bottom w:val="none" w:sz="0" w:space="0" w:color="auto"/>
        <w:right w:val="none" w:sz="0" w:space="0" w:color="auto"/>
      </w:divBdr>
    </w:div>
    <w:div w:id="313409551">
      <w:bodyDiv w:val="1"/>
      <w:marLeft w:val="0"/>
      <w:marRight w:val="0"/>
      <w:marTop w:val="0"/>
      <w:marBottom w:val="0"/>
      <w:divBdr>
        <w:top w:val="none" w:sz="0" w:space="0" w:color="auto"/>
        <w:left w:val="none" w:sz="0" w:space="0" w:color="auto"/>
        <w:bottom w:val="none" w:sz="0" w:space="0" w:color="auto"/>
        <w:right w:val="none" w:sz="0" w:space="0" w:color="auto"/>
      </w:divBdr>
    </w:div>
    <w:div w:id="437024317">
      <w:bodyDiv w:val="1"/>
      <w:marLeft w:val="0"/>
      <w:marRight w:val="0"/>
      <w:marTop w:val="0"/>
      <w:marBottom w:val="0"/>
      <w:divBdr>
        <w:top w:val="none" w:sz="0" w:space="0" w:color="auto"/>
        <w:left w:val="none" w:sz="0" w:space="0" w:color="auto"/>
        <w:bottom w:val="none" w:sz="0" w:space="0" w:color="auto"/>
        <w:right w:val="none" w:sz="0" w:space="0" w:color="auto"/>
      </w:divBdr>
    </w:div>
    <w:div w:id="470295648">
      <w:bodyDiv w:val="1"/>
      <w:marLeft w:val="0"/>
      <w:marRight w:val="0"/>
      <w:marTop w:val="0"/>
      <w:marBottom w:val="0"/>
      <w:divBdr>
        <w:top w:val="none" w:sz="0" w:space="0" w:color="auto"/>
        <w:left w:val="none" w:sz="0" w:space="0" w:color="auto"/>
        <w:bottom w:val="none" w:sz="0" w:space="0" w:color="auto"/>
        <w:right w:val="none" w:sz="0" w:space="0" w:color="auto"/>
      </w:divBdr>
    </w:div>
    <w:div w:id="532231794">
      <w:bodyDiv w:val="1"/>
      <w:marLeft w:val="0"/>
      <w:marRight w:val="0"/>
      <w:marTop w:val="0"/>
      <w:marBottom w:val="0"/>
      <w:divBdr>
        <w:top w:val="none" w:sz="0" w:space="0" w:color="auto"/>
        <w:left w:val="none" w:sz="0" w:space="0" w:color="auto"/>
        <w:bottom w:val="none" w:sz="0" w:space="0" w:color="auto"/>
        <w:right w:val="none" w:sz="0" w:space="0" w:color="auto"/>
      </w:divBdr>
    </w:div>
    <w:div w:id="674921544">
      <w:bodyDiv w:val="1"/>
      <w:marLeft w:val="0"/>
      <w:marRight w:val="0"/>
      <w:marTop w:val="0"/>
      <w:marBottom w:val="0"/>
      <w:divBdr>
        <w:top w:val="none" w:sz="0" w:space="0" w:color="auto"/>
        <w:left w:val="none" w:sz="0" w:space="0" w:color="auto"/>
        <w:bottom w:val="none" w:sz="0" w:space="0" w:color="auto"/>
        <w:right w:val="none" w:sz="0" w:space="0" w:color="auto"/>
      </w:divBdr>
    </w:div>
    <w:div w:id="851647823">
      <w:bodyDiv w:val="1"/>
      <w:marLeft w:val="0"/>
      <w:marRight w:val="0"/>
      <w:marTop w:val="0"/>
      <w:marBottom w:val="0"/>
      <w:divBdr>
        <w:top w:val="none" w:sz="0" w:space="0" w:color="auto"/>
        <w:left w:val="none" w:sz="0" w:space="0" w:color="auto"/>
        <w:bottom w:val="none" w:sz="0" w:space="0" w:color="auto"/>
        <w:right w:val="none" w:sz="0" w:space="0" w:color="auto"/>
      </w:divBdr>
    </w:div>
    <w:div w:id="854342449">
      <w:bodyDiv w:val="1"/>
      <w:marLeft w:val="0"/>
      <w:marRight w:val="0"/>
      <w:marTop w:val="0"/>
      <w:marBottom w:val="0"/>
      <w:divBdr>
        <w:top w:val="none" w:sz="0" w:space="0" w:color="auto"/>
        <w:left w:val="none" w:sz="0" w:space="0" w:color="auto"/>
        <w:bottom w:val="none" w:sz="0" w:space="0" w:color="auto"/>
        <w:right w:val="none" w:sz="0" w:space="0" w:color="auto"/>
      </w:divBdr>
    </w:div>
    <w:div w:id="857353613">
      <w:bodyDiv w:val="1"/>
      <w:marLeft w:val="0"/>
      <w:marRight w:val="0"/>
      <w:marTop w:val="0"/>
      <w:marBottom w:val="0"/>
      <w:divBdr>
        <w:top w:val="none" w:sz="0" w:space="0" w:color="auto"/>
        <w:left w:val="none" w:sz="0" w:space="0" w:color="auto"/>
        <w:bottom w:val="none" w:sz="0" w:space="0" w:color="auto"/>
        <w:right w:val="none" w:sz="0" w:space="0" w:color="auto"/>
      </w:divBdr>
    </w:div>
    <w:div w:id="921569374">
      <w:bodyDiv w:val="1"/>
      <w:marLeft w:val="0"/>
      <w:marRight w:val="0"/>
      <w:marTop w:val="0"/>
      <w:marBottom w:val="0"/>
      <w:divBdr>
        <w:top w:val="none" w:sz="0" w:space="0" w:color="auto"/>
        <w:left w:val="none" w:sz="0" w:space="0" w:color="auto"/>
        <w:bottom w:val="none" w:sz="0" w:space="0" w:color="auto"/>
        <w:right w:val="none" w:sz="0" w:space="0" w:color="auto"/>
      </w:divBdr>
    </w:div>
    <w:div w:id="951012325">
      <w:bodyDiv w:val="1"/>
      <w:marLeft w:val="0"/>
      <w:marRight w:val="0"/>
      <w:marTop w:val="0"/>
      <w:marBottom w:val="0"/>
      <w:divBdr>
        <w:top w:val="none" w:sz="0" w:space="0" w:color="auto"/>
        <w:left w:val="none" w:sz="0" w:space="0" w:color="auto"/>
        <w:bottom w:val="none" w:sz="0" w:space="0" w:color="auto"/>
        <w:right w:val="none" w:sz="0" w:space="0" w:color="auto"/>
      </w:divBdr>
    </w:div>
    <w:div w:id="983238218">
      <w:bodyDiv w:val="1"/>
      <w:marLeft w:val="0"/>
      <w:marRight w:val="0"/>
      <w:marTop w:val="0"/>
      <w:marBottom w:val="0"/>
      <w:divBdr>
        <w:top w:val="none" w:sz="0" w:space="0" w:color="auto"/>
        <w:left w:val="none" w:sz="0" w:space="0" w:color="auto"/>
        <w:bottom w:val="none" w:sz="0" w:space="0" w:color="auto"/>
        <w:right w:val="none" w:sz="0" w:space="0" w:color="auto"/>
      </w:divBdr>
    </w:div>
    <w:div w:id="1065909721">
      <w:bodyDiv w:val="1"/>
      <w:marLeft w:val="0"/>
      <w:marRight w:val="0"/>
      <w:marTop w:val="0"/>
      <w:marBottom w:val="0"/>
      <w:divBdr>
        <w:top w:val="none" w:sz="0" w:space="0" w:color="auto"/>
        <w:left w:val="none" w:sz="0" w:space="0" w:color="auto"/>
        <w:bottom w:val="none" w:sz="0" w:space="0" w:color="auto"/>
        <w:right w:val="none" w:sz="0" w:space="0" w:color="auto"/>
      </w:divBdr>
    </w:div>
    <w:div w:id="1164131466">
      <w:bodyDiv w:val="1"/>
      <w:marLeft w:val="0"/>
      <w:marRight w:val="0"/>
      <w:marTop w:val="0"/>
      <w:marBottom w:val="0"/>
      <w:divBdr>
        <w:top w:val="none" w:sz="0" w:space="0" w:color="auto"/>
        <w:left w:val="none" w:sz="0" w:space="0" w:color="auto"/>
        <w:bottom w:val="none" w:sz="0" w:space="0" w:color="auto"/>
        <w:right w:val="none" w:sz="0" w:space="0" w:color="auto"/>
      </w:divBdr>
    </w:div>
    <w:div w:id="1169950890">
      <w:bodyDiv w:val="1"/>
      <w:marLeft w:val="0"/>
      <w:marRight w:val="0"/>
      <w:marTop w:val="0"/>
      <w:marBottom w:val="0"/>
      <w:divBdr>
        <w:top w:val="none" w:sz="0" w:space="0" w:color="auto"/>
        <w:left w:val="none" w:sz="0" w:space="0" w:color="auto"/>
        <w:bottom w:val="none" w:sz="0" w:space="0" w:color="auto"/>
        <w:right w:val="none" w:sz="0" w:space="0" w:color="auto"/>
      </w:divBdr>
    </w:div>
    <w:div w:id="1222328275">
      <w:bodyDiv w:val="1"/>
      <w:marLeft w:val="0"/>
      <w:marRight w:val="0"/>
      <w:marTop w:val="0"/>
      <w:marBottom w:val="0"/>
      <w:divBdr>
        <w:top w:val="none" w:sz="0" w:space="0" w:color="auto"/>
        <w:left w:val="none" w:sz="0" w:space="0" w:color="auto"/>
        <w:bottom w:val="none" w:sz="0" w:space="0" w:color="auto"/>
        <w:right w:val="none" w:sz="0" w:space="0" w:color="auto"/>
      </w:divBdr>
    </w:div>
    <w:div w:id="1225600613">
      <w:bodyDiv w:val="1"/>
      <w:marLeft w:val="0"/>
      <w:marRight w:val="0"/>
      <w:marTop w:val="0"/>
      <w:marBottom w:val="0"/>
      <w:divBdr>
        <w:top w:val="none" w:sz="0" w:space="0" w:color="auto"/>
        <w:left w:val="none" w:sz="0" w:space="0" w:color="auto"/>
        <w:bottom w:val="none" w:sz="0" w:space="0" w:color="auto"/>
        <w:right w:val="none" w:sz="0" w:space="0" w:color="auto"/>
      </w:divBdr>
    </w:div>
    <w:div w:id="1264613564">
      <w:bodyDiv w:val="1"/>
      <w:marLeft w:val="0"/>
      <w:marRight w:val="0"/>
      <w:marTop w:val="0"/>
      <w:marBottom w:val="0"/>
      <w:divBdr>
        <w:top w:val="none" w:sz="0" w:space="0" w:color="auto"/>
        <w:left w:val="none" w:sz="0" w:space="0" w:color="auto"/>
        <w:bottom w:val="none" w:sz="0" w:space="0" w:color="auto"/>
        <w:right w:val="none" w:sz="0" w:space="0" w:color="auto"/>
      </w:divBdr>
    </w:div>
    <w:div w:id="1309242091">
      <w:bodyDiv w:val="1"/>
      <w:marLeft w:val="0"/>
      <w:marRight w:val="0"/>
      <w:marTop w:val="0"/>
      <w:marBottom w:val="0"/>
      <w:divBdr>
        <w:top w:val="none" w:sz="0" w:space="0" w:color="auto"/>
        <w:left w:val="none" w:sz="0" w:space="0" w:color="auto"/>
        <w:bottom w:val="none" w:sz="0" w:space="0" w:color="auto"/>
        <w:right w:val="none" w:sz="0" w:space="0" w:color="auto"/>
      </w:divBdr>
    </w:div>
    <w:div w:id="1424374808">
      <w:bodyDiv w:val="1"/>
      <w:marLeft w:val="0"/>
      <w:marRight w:val="0"/>
      <w:marTop w:val="0"/>
      <w:marBottom w:val="0"/>
      <w:divBdr>
        <w:top w:val="none" w:sz="0" w:space="0" w:color="auto"/>
        <w:left w:val="none" w:sz="0" w:space="0" w:color="auto"/>
        <w:bottom w:val="none" w:sz="0" w:space="0" w:color="auto"/>
        <w:right w:val="none" w:sz="0" w:space="0" w:color="auto"/>
      </w:divBdr>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
    <w:div w:id="1798985109">
      <w:bodyDiv w:val="1"/>
      <w:marLeft w:val="0"/>
      <w:marRight w:val="0"/>
      <w:marTop w:val="0"/>
      <w:marBottom w:val="0"/>
      <w:divBdr>
        <w:top w:val="none" w:sz="0" w:space="0" w:color="auto"/>
        <w:left w:val="none" w:sz="0" w:space="0" w:color="auto"/>
        <w:bottom w:val="none" w:sz="0" w:space="0" w:color="auto"/>
        <w:right w:val="none" w:sz="0" w:space="0" w:color="auto"/>
      </w:divBdr>
    </w:div>
    <w:div w:id="1803619287">
      <w:bodyDiv w:val="1"/>
      <w:marLeft w:val="0"/>
      <w:marRight w:val="0"/>
      <w:marTop w:val="0"/>
      <w:marBottom w:val="0"/>
      <w:divBdr>
        <w:top w:val="none" w:sz="0" w:space="0" w:color="auto"/>
        <w:left w:val="none" w:sz="0" w:space="0" w:color="auto"/>
        <w:bottom w:val="none" w:sz="0" w:space="0" w:color="auto"/>
        <w:right w:val="none" w:sz="0" w:space="0" w:color="auto"/>
      </w:divBdr>
    </w:div>
    <w:div w:id="1943487971">
      <w:bodyDiv w:val="1"/>
      <w:marLeft w:val="0"/>
      <w:marRight w:val="0"/>
      <w:marTop w:val="0"/>
      <w:marBottom w:val="0"/>
      <w:divBdr>
        <w:top w:val="none" w:sz="0" w:space="0" w:color="auto"/>
        <w:left w:val="none" w:sz="0" w:space="0" w:color="auto"/>
        <w:bottom w:val="none" w:sz="0" w:space="0" w:color="auto"/>
        <w:right w:val="none" w:sz="0" w:space="0" w:color="auto"/>
      </w:divBdr>
    </w:div>
    <w:div w:id="2042315906">
      <w:bodyDiv w:val="1"/>
      <w:marLeft w:val="0"/>
      <w:marRight w:val="0"/>
      <w:marTop w:val="0"/>
      <w:marBottom w:val="0"/>
      <w:divBdr>
        <w:top w:val="none" w:sz="0" w:space="0" w:color="auto"/>
        <w:left w:val="none" w:sz="0" w:space="0" w:color="auto"/>
        <w:bottom w:val="none" w:sz="0" w:space="0" w:color="auto"/>
        <w:right w:val="none" w:sz="0" w:space="0" w:color="auto"/>
      </w:divBdr>
    </w:div>
    <w:div w:id="20554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online.wi.gov/etf/internet/RFP/StaffingServices/20190513%20RateCard.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t.etf.wi.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am.wiscons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fonline.wi.gov/etf/internet/RFP/StaffingServices/20190513%20RateCard.pdf" TargetMode="External"/><Relationship Id="rId4" Type="http://schemas.openxmlformats.org/officeDocument/2006/relationships/settings" Target="settings.xml"/><Relationship Id="rId9" Type="http://schemas.openxmlformats.org/officeDocument/2006/relationships/hyperlink" Target="https://etfonline.wi.gov/etf/internet/RFP/StaffingServices/index.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55B0-A263-4D4F-BA44-D1673D74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 D - ETF</dc:creator>
  <cp:keywords/>
  <dc:description/>
  <cp:lastModifiedBy>Schipper, Kristen D - ETF</cp:lastModifiedBy>
  <cp:revision>6</cp:revision>
  <dcterms:created xsi:type="dcterms:W3CDTF">2020-04-29T02:28:00Z</dcterms:created>
  <dcterms:modified xsi:type="dcterms:W3CDTF">2020-04-29T20:57:00Z</dcterms:modified>
</cp:coreProperties>
</file>