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13A7" w14:textId="3B659112" w:rsidR="00B86E58" w:rsidRDefault="00B86E58" w:rsidP="0087368B">
      <w:pPr>
        <w:pStyle w:val="BodyText"/>
        <w:spacing w:before="137"/>
        <w:ind w:left="140" w:right="133"/>
        <w:jc w:val="center"/>
        <w:rPr>
          <w:b/>
          <w:bCs/>
          <w:sz w:val="28"/>
          <w:szCs w:val="28"/>
        </w:rPr>
      </w:pPr>
      <w:r>
        <w:rPr>
          <w:b/>
          <w:bCs/>
          <w:sz w:val="28"/>
          <w:szCs w:val="28"/>
        </w:rPr>
        <w:t>Appendix 12</w:t>
      </w:r>
    </w:p>
    <w:p w14:paraId="37145902" w14:textId="431C0389" w:rsidR="0087368B" w:rsidRPr="0087368B" w:rsidRDefault="00B86E58" w:rsidP="0087368B">
      <w:pPr>
        <w:pStyle w:val="BodyText"/>
        <w:spacing w:before="137"/>
        <w:ind w:left="140" w:right="133"/>
        <w:jc w:val="center"/>
        <w:rPr>
          <w:b/>
          <w:bCs/>
          <w:sz w:val="28"/>
          <w:szCs w:val="28"/>
        </w:rPr>
      </w:pPr>
      <w:r>
        <w:rPr>
          <w:b/>
          <w:bCs/>
          <w:sz w:val="28"/>
          <w:szCs w:val="28"/>
        </w:rPr>
        <w:t xml:space="preserve">Non-Disclosure and </w:t>
      </w:r>
      <w:r w:rsidR="0087368B" w:rsidRPr="0087368B">
        <w:rPr>
          <w:b/>
          <w:bCs/>
          <w:sz w:val="28"/>
          <w:szCs w:val="28"/>
        </w:rPr>
        <w:t>Data Supplier Agreement</w:t>
      </w:r>
      <w:r>
        <w:rPr>
          <w:b/>
          <w:bCs/>
          <w:sz w:val="28"/>
          <w:szCs w:val="28"/>
        </w:rPr>
        <w:t xml:space="preserve"> with </w:t>
      </w:r>
      <w:proofErr w:type="spellStart"/>
      <w:r>
        <w:rPr>
          <w:b/>
          <w:bCs/>
          <w:sz w:val="28"/>
          <w:szCs w:val="28"/>
        </w:rPr>
        <w:t>Benefitfocus</w:t>
      </w:r>
      <w:proofErr w:type="spellEnd"/>
    </w:p>
    <w:p w14:paraId="7635002F" w14:textId="19BB86C5" w:rsidR="00E674E9" w:rsidRDefault="0087368B" w:rsidP="00C46C31">
      <w:pPr>
        <w:pStyle w:val="BodyText"/>
        <w:spacing w:before="137"/>
        <w:ind w:left="140" w:right="133"/>
        <w:jc w:val="both"/>
      </w:pPr>
      <w:r>
        <w:t>This Data Supplier Agreement (“</w:t>
      </w:r>
      <w:r>
        <w:rPr>
          <w:b/>
        </w:rPr>
        <w:t>DSA</w:t>
      </w:r>
      <w:r>
        <w:t>”)</w:t>
      </w:r>
      <w:r w:rsidR="00B86E58">
        <w:t xml:space="preserve"> and Non-Disclosure Agreement (“</w:t>
      </w:r>
      <w:r w:rsidR="00B86E58" w:rsidRPr="00B86E58">
        <w:rPr>
          <w:b/>
          <w:bCs/>
        </w:rPr>
        <w:t>NDA</w:t>
      </w:r>
      <w:r w:rsidR="00B86E58">
        <w:t>”)</w:t>
      </w:r>
      <w:r>
        <w:t xml:space="preserve">, dated </w:t>
      </w:r>
      <w:proofErr w:type="spellStart"/>
      <w:r w:rsidR="00B86E58">
        <w:t>xxxx</w:t>
      </w:r>
      <w:proofErr w:type="spellEnd"/>
      <w:r w:rsidR="00C46C31" w:rsidRPr="00C46C31">
        <w:t>, 202</w:t>
      </w:r>
      <w:r w:rsidR="00B86E58">
        <w:t>4</w:t>
      </w:r>
      <w:r w:rsidRPr="0087368B">
        <w:rPr>
          <w:color w:val="FF0000"/>
        </w:rPr>
        <w:t xml:space="preserve"> </w:t>
      </w:r>
      <w:r>
        <w:t xml:space="preserve">is entered between and among </w:t>
      </w:r>
      <w:r w:rsidR="00B86E58">
        <w:t>[PBM vendor]</w:t>
      </w:r>
      <w:r>
        <w:t xml:space="preserve"> on behalf of itself and it</w:t>
      </w:r>
      <w:r w:rsidR="00224929">
        <w:t>s</w:t>
      </w:r>
      <w:r>
        <w:t xml:space="preserve"> subsidiaries (collectively “</w:t>
      </w:r>
      <w:r>
        <w:rPr>
          <w:b/>
        </w:rPr>
        <w:t>Data Supplier</w:t>
      </w:r>
      <w:r>
        <w:t>”), The Department of Employee Trust Funds</w:t>
      </w:r>
      <w:r>
        <w:rPr>
          <w:i/>
        </w:rPr>
        <w:t>,</w:t>
      </w:r>
      <w:r>
        <w:rPr>
          <w:i/>
          <w:spacing w:val="1"/>
        </w:rPr>
        <w:t xml:space="preserve"> </w:t>
      </w:r>
      <w:r>
        <w:t>(“</w:t>
      </w:r>
      <w:r>
        <w:rPr>
          <w:b/>
        </w:rPr>
        <w:t>Department</w:t>
      </w:r>
      <w:r>
        <w:t>”), and Benefitfocus.com, Inc. (“</w:t>
      </w:r>
      <w:r>
        <w:rPr>
          <w:b/>
        </w:rPr>
        <w:t>BENEFITFOCUS</w:t>
      </w:r>
      <w:r>
        <w:t>”), collectively the “Parties”.</w:t>
      </w:r>
      <w:r>
        <w:rPr>
          <w:spacing w:val="1"/>
        </w:rPr>
        <w:t xml:space="preserve"> </w:t>
      </w:r>
      <w:r>
        <w:t>Terms not defined</w:t>
      </w:r>
      <w:r>
        <w:rPr>
          <w:spacing w:val="1"/>
        </w:rPr>
        <w:t xml:space="preserve"> </w:t>
      </w:r>
      <w:r>
        <w:t>herein may be defined in the applicable agreements between the Parties.</w:t>
      </w:r>
      <w:r>
        <w:rPr>
          <w:spacing w:val="1"/>
        </w:rPr>
        <w:t xml:space="preserve"> </w:t>
      </w:r>
      <w:r>
        <w:t>If the terms are found to conflict, the terms of</w:t>
      </w:r>
      <w:r>
        <w:rPr>
          <w:spacing w:val="1"/>
        </w:rPr>
        <w:t xml:space="preserve"> </w:t>
      </w:r>
      <w:r>
        <w:t>this</w:t>
      </w:r>
      <w:r>
        <w:rPr>
          <w:spacing w:val="-1"/>
        </w:rPr>
        <w:t xml:space="preserve"> </w:t>
      </w:r>
      <w:r>
        <w:t>DSA</w:t>
      </w:r>
      <w:r>
        <w:rPr>
          <w:spacing w:val="-1"/>
        </w:rPr>
        <w:t xml:space="preserve"> </w:t>
      </w:r>
      <w:r>
        <w:t>supersede</w:t>
      </w:r>
      <w:r>
        <w:rPr>
          <w:spacing w:val="-1"/>
        </w:rPr>
        <w:t xml:space="preserve"> </w:t>
      </w:r>
      <w:r>
        <w:t>and</w:t>
      </w:r>
      <w:r>
        <w:rPr>
          <w:spacing w:val="-1"/>
        </w:rPr>
        <w:t xml:space="preserve"> </w:t>
      </w:r>
      <w:r>
        <w:t>govern</w:t>
      </w:r>
      <w:r>
        <w:rPr>
          <w:spacing w:val="2"/>
        </w:rPr>
        <w:t xml:space="preserve"> </w:t>
      </w:r>
      <w:r>
        <w:t>any</w:t>
      </w:r>
      <w:r>
        <w:rPr>
          <w:spacing w:val="-5"/>
        </w:rPr>
        <w:t xml:space="preserve"> </w:t>
      </w:r>
      <w:r>
        <w:t>transfer</w:t>
      </w:r>
      <w:r>
        <w:rPr>
          <w:spacing w:val="-1"/>
        </w:rPr>
        <w:t xml:space="preserve"> </w:t>
      </w:r>
      <w:r>
        <w:t>of</w:t>
      </w:r>
      <w:r>
        <w:rPr>
          <w:spacing w:val="1"/>
        </w:rPr>
        <w:t xml:space="preserve"> </w:t>
      </w:r>
      <w:r>
        <w:t>Data</w:t>
      </w:r>
      <w:r>
        <w:rPr>
          <w:spacing w:val="1"/>
        </w:rPr>
        <w:t xml:space="preserve"> </w:t>
      </w:r>
      <w:r>
        <w:t>between</w:t>
      </w:r>
      <w:r>
        <w:rPr>
          <w:spacing w:val="-1"/>
        </w:rPr>
        <w:t xml:space="preserve"> </w:t>
      </w:r>
      <w:r>
        <w:t>the</w:t>
      </w:r>
      <w:r>
        <w:rPr>
          <w:spacing w:val="-2"/>
        </w:rPr>
        <w:t xml:space="preserve"> </w:t>
      </w:r>
      <w:r>
        <w:t>parties.</w:t>
      </w:r>
    </w:p>
    <w:p w14:paraId="6A54F71E" w14:textId="77777777" w:rsidR="00E674E9" w:rsidRDefault="00E674E9">
      <w:pPr>
        <w:pStyle w:val="BodyText"/>
      </w:pPr>
    </w:p>
    <w:p w14:paraId="58993767" w14:textId="77777777" w:rsidR="00E674E9" w:rsidRDefault="0087368B">
      <w:pPr>
        <w:pStyle w:val="Heading1"/>
        <w:spacing w:line="229" w:lineRule="exact"/>
        <w:ind w:left="140" w:firstLine="0"/>
        <w:jc w:val="both"/>
      </w:pPr>
      <w:bookmarkStart w:id="0" w:name="Background_&amp;_Purpose"/>
      <w:bookmarkEnd w:id="0"/>
      <w:r>
        <w:t>Background</w:t>
      </w:r>
      <w:r>
        <w:rPr>
          <w:spacing w:val="-5"/>
        </w:rPr>
        <w:t xml:space="preserve"> </w:t>
      </w:r>
      <w:r>
        <w:t>&amp;</w:t>
      </w:r>
      <w:r>
        <w:rPr>
          <w:spacing w:val="-5"/>
        </w:rPr>
        <w:t xml:space="preserve"> </w:t>
      </w:r>
      <w:r>
        <w:t>Purpose</w:t>
      </w:r>
    </w:p>
    <w:p w14:paraId="08EF4DC7" w14:textId="77777777" w:rsidR="00E674E9" w:rsidRDefault="0087368B">
      <w:pPr>
        <w:pStyle w:val="BodyText"/>
        <w:ind w:left="140" w:right="133"/>
        <w:jc w:val="both"/>
      </w:pPr>
      <w:r>
        <w:t xml:space="preserve">Data Supplier and </w:t>
      </w:r>
      <w:r>
        <w:rPr>
          <w:b/>
        </w:rPr>
        <w:t xml:space="preserve">Department </w:t>
      </w:r>
      <w:r>
        <w:t>have entered into an Administrative Services Agreement (“</w:t>
      </w:r>
      <w:r>
        <w:rPr>
          <w:b/>
        </w:rPr>
        <w:t>Department Agreement</w:t>
      </w:r>
      <w:r>
        <w:t>”),</w:t>
      </w:r>
      <w:r>
        <w:rPr>
          <w:spacing w:val="1"/>
        </w:rPr>
        <w:t xml:space="preserve"> </w:t>
      </w:r>
      <w:r>
        <w:t>pursuant to which Data Supplier provides claim administration services to a self-insured Uniform Pharmacy Benefit</w:t>
      </w:r>
      <w:r>
        <w:rPr>
          <w:spacing w:val="1"/>
        </w:rPr>
        <w:t xml:space="preserve"> </w:t>
      </w:r>
      <w:r>
        <w:t>program sponsored</w:t>
      </w:r>
      <w:r>
        <w:rPr>
          <w:spacing w:val="-4"/>
        </w:rPr>
        <w:t xml:space="preserve"> </w:t>
      </w:r>
      <w:r>
        <w:t>by</w:t>
      </w:r>
      <w:r>
        <w:rPr>
          <w:spacing w:val="-6"/>
        </w:rPr>
        <w:t xml:space="preserve"> </w:t>
      </w:r>
      <w:r>
        <w:t>the Department</w:t>
      </w:r>
      <w:r>
        <w:rPr>
          <w:spacing w:val="-2"/>
        </w:rPr>
        <w:t xml:space="preserve"> </w:t>
      </w:r>
      <w:r>
        <w:t>(the</w:t>
      </w:r>
      <w:r>
        <w:rPr>
          <w:spacing w:val="-4"/>
        </w:rPr>
        <w:t xml:space="preserve"> </w:t>
      </w:r>
      <w:r>
        <w:t>“</w:t>
      </w:r>
      <w:r>
        <w:rPr>
          <w:b/>
        </w:rPr>
        <w:t>Plan</w:t>
      </w:r>
      <w:r>
        <w:t>”)</w:t>
      </w:r>
      <w:r>
        <w:rPr>
          <w:spacing w:val="-2"/>
        </w:rPr>
        <w:t xml:space="preserve"> </w:t>
      </w:r>
      <w:r>
        <w:t>and</w:t>
      </w:r>
      <w:r>
        <w:rPr>
          <w:spacing w:val="-4"/>
        </w:rPr>
        <w:t xml:space="preserve"> </w:t>
      </w:r>
      <w:r>
        <w:t>to</w:t>
      </w:r>
      <w:r>
        <w:rPr>
          <w:spacing w:val="-1"/>
        </w:rPr>
        <w:t xml:space="preserve"> </w:t>
      </w:r>
      <w:r>
        <w:t>individuals</w:t>
      </w:r>
      <w:r>
        <w:rPr>
          <w:spacing w:val="-3"/>
        </w:rPr>
        <w:t xml:space="preserve"> </w:t>
      </w:r>
      <w:r>
        <w:t>eligible</w:t>
      </w:r>
      <w:r>
        <w:rPr>
          <w:spacing w:val="-3"/>
        </w:rPr>
        <w:t xml:space="preserve"> </w:t>
      </w:r>
      <w:r>
        <w:t>for</w:t>
      </w:r>
      <w:r>
        <w:rPr>
          <w:spacing w:val="-4"/>
        </w:rPr>
        <w:t xml:space="preserve"> </w:t>
      </w:r>
      <w:r>
        <w:t>benefits</w:t>
      </w:r>
      <w:r>
        <w:rPr>
          <w:spacing w:val="-2"/>
        </w:rPr>
        <w:t xml:space="preserve"> </w:t>
      </w:r>
      <w:r>
        <w:t>under</w:t>
      </w:r>
      <w:r>
        <w:rPr>
          <w:spacing w:val="-1"/>
        </w:rPr>
        <w:t xml:space="preserve"> </w:t>
      </w:r>
      <w:r>
        <w:t>the</w:t>
      </w:r>
      <w:r>
        <w:rPr>
          <w:spacing w:val="-2"/>
        </w:rPr>
        <w:t xml:space="preserve"> </w:t>
      </w:r>
      <w:r>
        <w:t>Plan</w:t>
      </w:r>
      <w:r>
        <w:rPr>
          <w:spacing w:val="-4"/>
        </w:rPr>
        <w:t xml:space="preserve"> </w:t>
      </w:r>
      <w:r>
        <w:t>(“</w:t>
      </w:r>
      <w:r>
        <w:rPr>
          <w:b/>
        </w:rPr>
        <w:t>Participants</w:t>
      </w:r>
      <w:r>
        <w:t>”).</w:t>
      </w:r>
    </w:p>
    <w:p w14:paraId="5F877939" w14:textId="77777777" w:rsidR="00E674E9" w:rsidRDefault="00E674E9">
      <w:pPr>
        <w:pStyle w:val="BodyText"/>
        <w:spacing w:before="1"/>
      </w:pPr>
    </w:p>
    <w:p w14:paraId="6B4266CE" w14:textId="14EFC802" w:rsidR="00E674E9" w:rsidRDefault="0087368B">
      <w:pPr>
        <w:pStyle w:val="BodyText"/>
        <w:ind w:left="140" w:right="135"/>
        <w:jc w:val="both"/>
      </w:pPr>
      <w:r>
        <w:t>Department and BENEFITFOCUS have entered into an agreement (the “</w:t>
      </w:r>
      <w:r>
        <w:rPr>
          <w:b/>
        </w:rPr>
        <w:t>BENEFITFOCUS Agreement</w:t>
      </w:r>
      <w:r>
        <w:t>”) pursuant to which BENEFITFOCUS provides certain</w:t>
      </w:r>
      <w:r>
        <w:rPr>
          <w:spacing w:val="1"/>
        </w:rPr>
        <w:t xml:space="preserve"> </w:t>
      </w:r>
      <w:r>
        <w:t>healthcare decision support systems and services which will be used by the Department and Participants to evaluate,</w:t>
      </w:r>
      <w:r>
        <w:rPr>
          <w:spacing w:val="1"/>
        </w:rPr>
        <w:t xml:space="preserve"> </w:t>
      </w:r>
      <w:r>
        <w:t>analyze and manage their healthcare benefits and costs (collectively “</w:t>
      </w:r>
      <w:r>
        <w:rPr>
          <w:b/>
        </w:rPr>
        <w:t>Services</w:t>
      </w:r>
      <w:r>
        <w:t>”). The Department has instructed Data</w:t>
      </w:r>
      <w:r>
        <w:rPr>
          <w:spacing w:val="1"/>
        </w:rPr>
        <w:t xml:space="preserve"> </w:t>
      </w:r>
      <w:r>
        <w:t>Supplier to make certain specified claim, capitation, encounter and/or other information available to BENEFITFOCUS to enable BENEFITFOCUS to</w:t>
      </w:r>
      <w:r>
        <w:rPr>
          <w:spacing w:val="1"/>
        </w:rPr>
        <w:t xml:space="preserve"> </w:t>
      </w:r>
      <w:r>
        <w:t>perform its Services, which claim information will include, without limitation, social security numbers, dates of service and</w:t>
      </w:r>
      <w:r>
        <w:rPr>
          <w:spacing w:val="1"/>
        </w:rPr>
        <w:t xml:space="preserve"> </w:t>
      </w:r>
      <w:r>
        <w:t>dollar amounts of claims (collectively “</w:t>
      </w:r>
      <w:r>
        <w:rPr>
          <w:b/>
        </w:rPr>
        <w:t>Data</w:t>
      </w:r>
      <w:r>
        <w:t>”). BENEFITFOCUS will share the Data with the Department in accordance with the Health</w:t>
      </w:r>
      <w:r>
        <w:rPr>
          <w:spacing w:val="1"/>
        </w:rPr>
        <w:t xml:space="preserve"> </w:t>
      </w:r>
      <w:r>
        <w:t>Insurance Portability and Accountability Act (HIPAA), Health Information Technology for Economic and Clinical Health Act</w:t>
      </w:r>
      <w:r>
        <w:rPr>
          <w:spacing w:val="-53"/>
        </w:rPr>
        <w:t xml:space="preserve"> </w:t>
      </w:r>
      <w:r>
        <w:t>(HITECH)</w:t>
      </w:r>
      <w:r>
        <w:rPr>
          <w:spacing w:val="-1"/>
        </w:rPr>
        <w:t xml:space="preserve"> </w:t>
      </w:r>
      <w:r>
        <w:t>and</w:t>
      </w:r>
      <w:r>
        <w:rPr>
          <w:spacing w:val="-1"/>
        </w:rPr>
        <w:t xml:space="preserve"> </w:t>
      </w:r>
      <w:r>
        <w:t>the</w:t>
      </w:r>
      <w:r>
        <w:rPr>
          <w:spacing w:val="-1"/>
        </w:rPr>
        <w:t xml:space="preserve"> </w:t>
      </w:r>
      <w:r>
        <w:t>Genetic Information</w:t>
      </w:r>
      <w:r>
        <w:rPr>
          <w:spacing w:val="-1"/>
        </w:rPr>
        <w:t xml:space="preserve"> </w:t>
      </w:r>
      <w:r>
        <w:t>Nondiscrimination</w:t>
      </w:r>
      <w:r>
        <w:rPr>
          <w:spacing w:val="-1"/>
        </w:rPr>
        <w:t xml:space="preserve"> </w:t>
      </w:r>
      <w:r>
        <w:t>Act</w:t>
      </w:r>
      <w:r>
        <w:rPr>
          <w:spacing w:val="-1"/>
        </w:rPr>
        <w:t xml:space="preserve"> </w:t>
      </w:r>
      <w:r>
        <w:t>(GINA);</w:t>
      </w:r>
      <w:r>
        <w:rPr>
          <w:spacing w:val="-1"/>
        </w:rPr>
        <w:t xml:space="preserve"> </w:t>
      </w:r>
      <w:r>
        <w:t>and</w:t>
      </w:r>
    </w:p>
    <w:p w14:paraId="6D6EEAA3" w14:textId="77777777" w:rsidR="00E674E9" w:rsidRDefault="00E674E9">
      <w:pPr>
        <w:pStyle w:val="BodyText"/>
        <w:spacing w:before="2"/>
      </w:pPr>
    </w:p>
    <w:p w14:paraId="532C6E84" w14:textId="747C4609" w:rsidR="00E674E9" w:rsidRDefault="0087368B">
      <w:pPr>
        <w:pStyle w:val="BodyText"/>
        <w:ind w:left="140" w:right="132"/>
        <w:jc w:val="both"/>
      </w:pPr>
      <w:r>
        <w:rPr>
          <w:w w:val="95"/>
        </w:rPr>
        <w:t>BENEFITFOCUS recognizes Data Supplier’s legitimate interests in maintaining the confidentiality of the Data, protecting the proprietary</w:t>
      </w:r>
      <w:r>
        <w:rPr>
          <w:spacing w:val="1"/>
          <w:w w:val="95"/>
        </w:rPr>
        <w:t xml:space="preserve"> </w:t>
      </w:r>
      <w:r>
        <w:t>nature of its systems and processes, avoiding unnecessary disruption of its claim administration, and protecting itself from</w:t>
      </w:r>
      <w:r>
        <w:rPr>
          <w:spacing w:val="-53"/>
        </w:rPr>
        <w:t xml:space="preserve"> </w:t>
      </w:r>
      <w:r>
        <w:t>certain legal liability.</w:t>
      </w:r>
      <w:r>
        <w:rPr>
          <w:spacing w:val="1"/>
        </w:rPr>
        <w:t xml:space="preserve"> </w:t>
      </w:r>
      <w:r>
        <w:t>Data Supplier is willing to make the Data available to BENEFITFOCUS in accordance with the request of the</w:t>
      </w:r>
      <w:r>
        <w:rPr>
          <w:spacing w:val="1"/>
        </w:rPr>
        <w:t xml:space="preserve"> </w:t>
      </w:r>
      <w:r>
        <w:t>Department,</w:t>
      </w:r>
      <w:r>
        <w:rPr>
          <w:spacing w:val="11"/>
        </w:rPr>
        <w:t xml:space="preserve"> </w:t>
      </w:r>
      <w:r>
        <w:t>upon</w:t>
      </w:r>
      <w:r>
        <w:rPr>
          <w:spacing w:val="13"/>
        </w:rPr>
        <w:t xml:space="preserve"> </w:t>
      </w:r>
      <w:r>
        <w:t>the</w:t>
      </w:r>
      <w:r>
        <w:rPr>
          <w:spacing w:val="13"/>
        </w:rPr>
        <w:t xml:space="preserve"> </w:t>
      </w:r>
      <w:r>
        <w:t>condition</w:t>
      </w:r>
      <w:r>
        <w:rPr>
          <w:spacing w:val="14"/>
        </w:rPr>
        <w:t xml:space="preserve"> </w:t>
      </w:r>
      <w:r>
        <w:t>that</w:t>
      </w:r>
      <w:r>
        <w:rPr>
          <w:spacing w:val="11"/>
        </w:rPr>
        <w:t xml:space="preserve"> </w:t>
      </w:r>
      <w:r>
        <w:t>BENEFITFOCUS</w:t>
      </w:r>
      <w:r>
        <w:rPr>
          <w:spacing w:val="13"/>
        </w:rPr>
        <w:t xml:space="preserve"> </w:t>
      </w:r>
      <w:r>
        <w:t>provides</w:t>
      </w:r>
      <w:r>
        <w:rPr>
          <w:spacing w:val="13"/>
        </w:rPr>
        <w:t xml:space="preserve"> </w:t>
      </w:r>
      <w:r>
        <w:t>certain</w:t>
      </w:r>
      <w:r>
        <w:rPr>
          <w:spacing w:val="13"/>
        </w:rPr>
        <w:t xml:space="preserve"> </w:t>
      </w:r>
      <w:r>
        <w:t>assurances,</w:t>
      </w:r>
      <w:r>
        <w:rPr>
          <w:spacing w:val="14"/>
        </w:rPr>
        <w:t xml:space="preserve"> </w:t>
      </w:r>
      <w:r>
        <w:t>including</w:t>
      </w:r>
      <w:r>
        <w:rPr>
          <w:spacing w:val="13"/>
        </w:rPr>
        <w:t xml:space="preserve"> </w:t>
      </w:r>
      <w:r>
        <w:t>assurances</w:t>
      </w:r>
      <w:r>
        <w:rPr>
          <w:spacing w:val="13"/>
        </w:rPr>
        <w:t xml:space="preserve"> </w:t>
      </w:r>
      <w:r>
        <w:t>of</w:t>
      </w:r>
      <w:r>
        <w:rPr>
          <w:spacing w:val="13"/>
        </w:rPr>
        <w:t xml:space="preserve"> </w:t>
      </w:r>
      <w:r>
        <w:t>protection</w:t>
      </w:r>
      <w:r>
        <w:rPr>
          <w:spacing w:val="15"/>
        </w:rPr>
        <w:t xml:space="preserve"> </w:t>
      </w:r>
      <w:r>
        <w:t>against</w:t>
      </w:r>
      <w:r>
        <w:rPr>
          <w:spacing w:val="12"/>
        </w:rPr>
        <w:t xml:space="preserve"> </w:t>
      </w:r>
      <w:r>
        <w:t>claims</w:t>
      </w:r>
      <w:r>
        <w:rPr>
          <w:spacing w:val="-54"/>
        </w:rPr>
        <w:t xml:space="preserve"> </w:t>
      </w:r>
      <w:r>
        <w:t>or</w:t>
      </w:r>
      <w:r>
        <w:rPr>
          <w:spacing w:val="-3"/>
        </w:rPr>
        <w:t xml:space="preserve"> </w:t>
      </w:r>
      <w:r>
        <w:t>liability</w:t>
      </w:r>
      <w:r>
        <w:rPr>
          <w:spacing w:val="-3"/>
        </w:rPr>
        <w:t xml:space="preserve"> </w:t>
      </w:r>
      <w:r>
        <w:t>arising</w:t>
      </w:r>
      <w:r>
        <w:rPr>
          <w:spacing w:val="-1"/>
        </w:rPr>
        <w:t xml:space="preserve"> </w:t>
      </w:r>
      <w:r>
        <w:t>out</w:t>
      </w:r>
      <w:r>
        <w:rPr>
          <w:spacing w:val="-1"/>
        </w:rPr>
        <w:t xml:space="preserve"> </w:t>
      </w:r>
      <w:r>
        <w:t>of BENEFITFOCUS’s</w:t>
      </w:r>
      <w:r>
        <w:rPr>
          <w:spacing w:val="-2"/>
        </w:rPr>
        <w:t xml:space="preserve"> </w:t>
      </w:r>
      <w:r>
        <w:t>performance</w:t>
      </w:r>
      <w:r>
        <w:rPr>
          <w:spacing w:val="-2"/>
        </w:rPr>
        <w:t xml:space="preserve"> </w:t>
      </w:r>
      <w:r>
        <w:t>of services or</w:t>
      </w:r>
      <w:r>
        <w:rPr>
          <w:spacing w:val="-2"/>
        </w:rPr>
        <w:t xml:space="preserve"> </w:t>
      </w:r>
      <w:r>
        <w:t>Data Supplier’s</w:t>
      </w:r>
      <w:r>
        <w:rPr>
          <w:spacing w:val="-2"/>
        </w:rPr>
        <w:t xml:space="preserve"> </w:t>
      </w:r>
      <w:r>
        <w:t>release of</w:t>
      </w:r>
      <w:r>
        <w:rPr>
          <w:spacing w:val="-1"/>
        </w:rPr>
        <w:t xml:space="preserve"> </w:t>
      </w:r>
      <w:r>
        <w:t>the</w:t>
      </w:r>
      <w:r>
        <w:rPr>
          <w:spacing w:val="-2"/>
        </w:rPr>
        <w:t xml:space="preserve"> </w:t>
      </w:r>
      <w:r>
        <w:t>Data</w:t>
      </w:r>
      <w:r>
        <w:rPr>
          <w:spacing w:val="-2"/>
        </w:rPr>
        <w:t xml:space="preserve"> </w:t>
      </w:r>
      <w:r>
        <w:t>to</w:t>
      </w:r>
      <w:r>
        <w:rPr>
          <w:spacing w:val="-1"/>
        </w:rPr>
        <w:t xml:space="preserve"> </w:t>
      </w:r>
      <w:r>
        <w:t>BENEFITFOCUS;</w:t>
      </w:r>
      <w:r>
        <w:rPr>
          <w:spacing w:val="-2"/>
        </w:rPr>
        <w:t xml:space="preserve"> </w:t>
      </w:r>
      <w:r>
        <w:t>and</w:t>
      </w:r>
    </w:p>
    <w:p w14:paraId="6A98AF2B" w14:textId="77777777" w:rsidR="00E674E9" w:rsidRDefault="00E674E9">
      <w:pPr>
        <w:pStyle w:val="BodyText"/>
      </w:pPr>
    </w:p>
    <w:p w14:paraId="7E84F011" w14:textId="7296EF93" w:rsidR="00E674E9" w:rsidRDefault="0087368B">
      <w:pPr>
        <w:pStyle w:val="BodyText"/>
        <w:ind w:left="140" w:right="137"/>
        <w:jc w:val="both"/>
      </w:pPr>
      <w:r>
        <w:t>BENEFITFOCUS is willing to make such assurances and in consideration of the foregoing premises and the mutual covenants set forth</w:t>
      </w:r>
      <w:r>
        <w:rPr>
          <w:spacing w:val="-53"/>
        </w:rPr>
        <w:t xml:space="preserve"> </w:t>
      </w:r>
      <w:r>
        <w:t>in</w:t>
      </w:r>
      <w:r>
        <w:rPr>
          <w:spacing w:val="-2"/>
        </w:rPr>
        <w:t xml:space="preserve"> </w:t>
      </w:r>
      <w:r>
        <w:t>this DSA,</w:t>
      </w:r>
    </w:p>
    <w:p w14:paraId="4CFAA826" w14:textId="77777777" w:rsidR="00E674E9" w:rsidRDefault="00E674E9">
      <w:pPr>
        <w:pStyle w:val="BodyText"/>
        <w:spacing w:before="2"/>
      </w:pPr>
    </w:p>
    <w:p w14:paraId="471189E7" w14:textId="77777777" w:rsidR="00E674E9" w:rsidRDefault="0087368B">
      <w:pPr>
        <w:pStyle w:val="BodyText"/>
        <w:ind w:left="140"/>
        <w:jc w:val="both"/>
      </w:pPr>
      <w:r>
        <w:t>The</w:t>
      </w:r>
      <w:r>
        <w:rPr>
          <w:spacing w:val="-4"/>
        </w:rPr>
        <w:t xml:space="preserve"> </w:t>
      </w:r>
      <w:r>
        <w:t>parties</w:t>
      </w:r>
      <w:r>
        <w:rPr>
          <w:spacing w:val="-2"/>
        </w:rPr>
        <w:t xml:space="preserve"> </w:t>
      </w:r>
      <w:r>
        <w:t>acknowledge</w:t>
      </w:r>
      <w:r>
        <w:rPr>
          <w:spacing w:val="-3"/>
        </w:rPr>
        <w:t xml:space="preserve"> </w:t>
      </w:r>
      <w:r>
        <w:t>and</w:t>
      </w:r>
      <w:r>
        <w:rPr>
          <w:spacing w:val="-3"/>
        </w:rPr>
        <w:t xml:space="preserve"> </w:t>
      </w:r>
      <w:r>
        <w:t>agree</w:t>
      </w:r>
      <w:r>
        <w:rPr>
          <w:spacing w:val="-2"/>
        </w:rPr>
        <w:t xml:space="preserve"> </w:t>
      </w:r>
      <w:r>
        <w:t>as</w:t>
      </w:r>
      <w:r>
        <w:rPr>
          <w:spacing w:val="-2"/>
        </w:rPr>
        <w:t xml:space="preserve"> </w:t>
      </w:r>
      <w:r>
        <w:t>follows:</w:t>
      </w:r>
    </w:p>
    <w:p w14:paraId="06E4436E" w14:textId="77777777" w:rsidR="00E674E9" w:rsidRDefault="00E674E9">
      <w:pPr>
        <w:pStyle w:val="BodyText"/>
        <w:spacing w:before="1"/>
        <w:rPr>
          <w:sz w:val="30"/>
        </w:rPr>
      </w:pPr>
    </w:p>
    <w:p w14:paraId="7DFB84A3" w14:textId="77777777" w:rsidR="00E674E9" w:rsidRDefault="0087368B">
      <w:pPr>
        <w:pStyle w:val="Heading1"/>
        <w:numPr>
          <w:ilvl w:val="0"/>
          <w:numId w:val="1"/>
        </w:numPr>
        <w:tabs>
          <w:tab w:val="left" w:pos="416"/>
        </w:tabs>
      </w:pPr>
      <w:bookmarkStart w:id="1" w:name="1.__Data_Release"/>
      <w:bookmarkEnd w:id="1"/>
      <w:r>
        <w:t>Data</w:t>
      </w:r>
      <w:r>
        <w:rPr>
          <w:spacing w:val="-3"/>
        </w:rPr>
        <w:t xml:space="preserve"> </w:t>
      </w:r>
      <w:r>
        <w:t>Release</w:t>
      </w:r>
    </w:p>
    <w:p w14:paraId="351C4B77" w14:textId="77777777" w:rsidR="00E674E9" w:rsidRDefault="00E674E9">
      <w:pPr>
        <w:pStyle w:val="BodyText"/>
        <w:spacing w:before="1"/>
        <w:rPr>
          <w:b/>
          <w:sz w:val="21"/>
        </w:rPr>
      </w:pPr>
    </w:p>
    <w:p w14:paraId="1987DD97" w14:textId="1C796631" w:rsidR="00E674E9" w:rsidRDefault="0087368B">
      <w:pPr>
        <w:pStyle w:val="BodyText"/>
        <w:ind w:left="500" w:right="137"/>
        <w:jc w:val="both"/>
      </w:pPr>
      <w:bookmarkStart w:id="2" w:name="Data_Supplier_agrees_to_release_the_Data"/>
      <w:bookmarkEnd w:id="2"/>
      <w:r>
        <w:t>Data</w:t>
      </w:r>
      <w:r>
        <w:rPr>
          <w:spacing w:val="1"/>
        </w:rPr>
        <w:t xml:space="preserve"> </w:t>
      </w:r>
      <w:r>
        <w:t>Supplier</w:t>
      </w:r>
      <w:r>
        <w:rPr>
          <w:spacing w:val="1"/>
        </w:rPr>
        <w:t xml:space="preserve"> </w:t>
      </w:r>
      <w:r>
        <w:t>agrees</w:t>
      </w:r>
      <w:r>
        <w:rPr>
          <w:spacing w:val="1"/>
        </w:rPr>
        <w:t xml:space="preserve"> </w:t>
      </w:r>
      <w:r>
        <w:t>to</w:t>
      </w:r>
      <w:r>
        <w:rPr>
          <w:spacing w:val="1"/>
        </w:rPr>
        <w:t xml:space="preserve"> </w:t>
      </w:r>
      <w:r>
        <w:t>release</w:t>
      </w:r>
      <w:r>
        <w:rPr>
          <w:spacing w:val="1"/>
        </w:rPr>
        <w:t xml:space="preserve"> </w:t>
      </w:r>
      <w:r>
        <w:t>the</w:t>
      </w:r>
      <w:r>
        <w:rPr>
          <w:spacing w:val="1"/>
        </w:rPr>
        <w:t xml:space="preserve"> </w:t>
      </w:r>
      <w:r>
        <w:t>Data</w:t>
      </w:r>
      <w:r>
        <w:rPr>
          <w:spacing w:val="1"/>
        </w:rPr>
        <w:t xml:space="preserve"> </w:t>
      </w:r>
      <w:r>
        <w:t>to</w:t>
      </w:r>
      <w:r>
        <w:rPr>
          <w:spacing w:val="1"/>
        </w:rPr>
        <w:t xml:space="preserve"> </w:t>
      </w:r>
      <w:r>
        <w:t>BENEFITFOCUS</w:t>
      </w:r>
      <w:r>
        <w:rPr>
          <w:spacing w:val="1"/>
        </w:rPr>
        <w:t xml:space="preserve"> </w:t>
      </w:r>
      <w:r>
        <w:t>as</w:t>
      </w:r>
      <w:r>
        <w:rPr>
          <w:spacing w:val="1"/>
        </w:rPr>
        <w:t xml:space="preserve"> </w:t>
      </w:r>
      <w:r>
        <w:t>requested</w:t>
      </w:r>
      <w:r>
        <w:rPr>
          <w:spacing w:val="1"/>
        </w:rPr>
        <w:t xml:space="preserve"> </w:t>
      </w:r>
      <w:r>
        <w:t>by</w:t>
      </w:r>
      <w:r>
        <w:rPr>
          <w:spacing w:val="1"/>
        </w:rPr>
        <w:t xml:space="preserve"> </w:t>
      </w:r>
      <w:r>
        <w:t>the</w:t>
      </w:r>
      <w:r>
        <w:rPr>
          <w:spacing w:val="1"/>
        </w:rPr>
        <w:t xml:space="preserve"> </w:t>
      </w:r>
      <w:r>
        <w:t>Department</w:t>
      </w:r>
      <w:r>
        <w:rPr>
          <w:spacing w:val="1"/>
        </w:rPr>
        <w:t xml:space="preserve"> </w:t>
      </w:r>
      <w:r>
        <w:t>and</w:t>
      </w:r>
      <w:r>
        <w:rPr>
          <w:spacing w:val="1"/>
        </w:rPr>
        <w:t xml:space="preserve"> </w:t>
      </w:r>
      <w:r>
        <w:t>use</w:t>
      </w:r>
      <w:r>
        <w:rPr>
          <w:spacing w:val="1"/>
        </w:rPr>
        <w:t xml:space="preserve"> </w:t>
      </w:r>
      <w:r>
        <w:t>all</w:t>
      </w:r>
      <w:r>
        <w:rPr>
          <w:spacing w:val="55"/>
        </w:rPr>
        <w:t xml:space="preserve"> </w:t>
      </w:r>
      <w:r>
        <w:t>commercially</w:t>
      </w:r>
      <w:r>
        <w:rPr>
          <w:spacing w:val="1"/>
        </w:rPr>
        <w:t xml:space="preserve"> </w:t>
      </w:r>
      <w:r>
        <w:t>reasonable efforts</w:t>
      </w:r>
      <w:r>
        <w:rPr>
          <w:spacing w:val="1"/>
        </w:rPr>
        <w:t xml:space="preserve"> </w:t>
      </w:r>
      <w:r>
        <w:t>to</w:t>
      </w:r>
      <w:r>
        <w:rPr>
          <w:spacing w:val="-1"/>
        </w:rPr>
        <w:t xml:space="preserve"> </w:t>
      </w:r>
      <w:r>
        <w:t>protect</w:t>
      </w:r>
      <w:r>
        <w:rPr>
          <w:spacing w:val="-1"/>
        </w:rPr>
        <w:t xml:space="preserve"> </w:t>
      </w:r>
      <w:r>
        <w:t>and</w:t>
      </w:r>
      <w:r>
        <w:rPr>
          <w:spacing w:val="1"/>
        </w:rPr>
        <w:t xml:space="preserve"> </w:t>
      </w:r>
      <w:r>
        <w:t>securely</w:t>
      </w:r>
      <w:r>
        <w:rPr>
          <w:spacing w:val="-4"/>
        </w:rPr>
        <w:t xml:space="preserve"> </w:t>
      </w:r>
      <w:r>
        <w:t>deliver</w:t>
      </w:r>
      <w:r>
        <w:rPr>
          <w:spacing w:val="-1"/>
        </w:rPr>
        <w:t xml:space="preserve"> </w:t>
      </w:r>
      <w:r>
        <w:t>the</w:t>
      </w:r>
      <w:r>
        <w:rPr>
          <w:spacing w:val="-1"/>
        </w:rPr>
        <w:t xml:space="preserve"> </w:t>
      </w:r>
      <w:r>
        <w:t>Data</w:t>
      </w:r>
      <w:r>
        <w:rPr>
          <w:spacing w:val="-1"/>
        </w:rPr>
        <w:t xml:space="preserve"> </w:t>
      </w:r>
      <w:r>
        <w:t>to</w:t>
      </w:r>
      <w:r>
        <w:rPr>
          <w:spacing w:val="-1"/>
        </w:rPr>
        <w:t xml:space="preserve"> </w:t>
      </w:r>
      <w:r>
        <w:t>BENEFITFOCUS.</w:t>
      </w:r>
    </w:p>
    <w:p w14:paraId="7852147A" w14:textId="422752EA" w:rsidR="003A59D0" w:rsidRDefault="003A59D0">
      <w:pPr>
        <w:pStyle w:val="BodyText"/>
        <w:ind w:left="500" w:right="137"/>
        <w:jc w:val="both"/>
      </w:pPr>
    </w:p>
    <w:p w14:paraId="79A4AB54" w14:textId="6B7E7DE4" w:rsidR="003A59D0" w:rsidRPr="00C46C31" w:rsidRDefault="003A59D0" w:rsidP="00C46C31">
      <w:pPr>
        <w:pStyle w:val="BodyText"/>
        <w:numPr>
          <w:ilvl w:val="0"/>
          <w:numId w:val="1"/>
        </w:numPr>
        <w:ind w:right="137"/>
        <w:jc w:val="both"/>
        <w:rPr>
          <w:b/>
          <w:bCs/>
        </w:rPr>
      </w:pPr>
      <w:r w:rsidRPr="00C46C31">
        <w:rPr>
          <w:b/>
          <w:bCs/>
        </w:rPr>
        <w:t>Definition</w:t>
      </w:r>
    </w:p>
    <w:p w14:paraId="6EB07695" w14:textId="77777777" w:rsidR="003A59D0" w:rsidRDefault="003A59D0" w:rsidP="00C46C31">
      <w:pPr>
        <w:pStyle w:val="BodyText"/>
        <w:ind w:left="416" w:right="137"/>
        <w:jc w:val="both"/>
      </w:pPr>
    </w:p>
    <w:p w14:paraId="2081F344" w14:textId="5F79A56D" w:rsidR="003A59D0" w:rsidRDefault="003A59D0" w:rsidP="00C46C31">
      <w:pPr>
        <w:pStyle w:val="BodyText"/>
        <w:ind w:left="416" w:right="137"/>
        <w:jc w:val="both"/>
      </w:pPr>
      <w:r w:rsidRPr="003A59D0">
        <w:t xml:space="preserve">“Confidential Information” shall mean all of the following whether disclosed directly or indirectly: (i) </w:t>
      </w:r>
      <w:r>
        <w:t>Data Suppliers</w:t>
      </w:r>
      <w:r w:rsidRPr="003A59D0">
        <w:t xml:space="preserve">’ financial, customer, product, technical, and business information, including, but not limited to, financial statements, strategic plans, intellectual property, customer lists, other customer information, marketing plans, software, forms, service methods, personnel information, trade secrets, and know-how, both written and oral; (ii) any confidential information of a third party used by, held by, or otherwise in the possession of </w:t>
      </w:r>
      <w:r>
        <w:t>Data Supplier</w:t>
      </w:r>
      <w:r w:rsidRPr="003A59D0">
        <w:t xml:space="preserve">; and (iii) any protected health information or other information protected by the Health Insurance Portability and Accountability Act (“HIPAA”); provided, however, that “Confidential Information” shall not include any information that:  (a) at the time of disclosure is generally available to the public or, after disclosure, becomes generally available to the public other than by a breach of this Agreement or by any breach of confidentiality by a third party; or (b) is already in </w:t>
      </w:r>
      <w:r>
        <w:t>BENEFITFOCUS’</w:t>
      </w:r>
      <w:r w:rsidRPr="003A59D0">
        <w:t xml:space="preserve"> possession at the time of disclosure by </w:t>
      </w:r>
      <w:r>
        <w:t>Data Supplier</w:t>
      </w:r>
      <w:r w:rsidRPr="003A59D0">
        <w:t xml:space="preserve"> and was not acquired directly or indirectly from </w:t>
      </w:r>
      <w:r>
        <w:t>Data Supplier</w:t>
      </w:r>
      <w:r w:rsidRPr="003A59D0">
        <w:t xml:space="preserve">; or (c) is later received by </w:t>
      </w:r>
      <w:r>
        <w:t>BENEFITFOCUS</w:t>
      </w:r>
      <w:r w:rsidRPr="003A59D0">
        <w:t xml:space="preserve"> on a non-confidential basis from a third party having the right to impart that information.</w:t>
      </w:r>
    </w:p>
    <w:p w14:paraId="28CA8436" w14:textId="77777777" w:rsidR="003A59D0" w:rsidRDefault="003A59D0" w:rsidP="00C46C31">
      <w:pPr>
        <w:pStyle w:val="BodyText"/>
        <w:ind w:left="416" w:right="137"/>
        <w:jc w:val="both"/>
      </w:pPr>
    </w:p>
    <w:p w14:paraId="7BDC6DA7" w14:textId="43AF535D" w:rsidR="003A59D0" w:rsidRPr="00270D88" w:rsidRDefault="003A59D0" w:rsidP="00C46C31">
      <w:pPr>
        <w:pStyle w:val="BodyText"/>
        <w:numPr>
          <w:ilvl w:val="0"/>
          <w:numId w:val="1"/>
        </w:numPr>
        <w:ind w:right="137"/>
        <w:jc w:val="both"/>
        <w:rPr>
          <w:b/>
          <w:bCs/>
        </w:rPr>
      </w:pPr>
      <w:r w:rsidRPr="00270D88">
        <w:rPr>
          <w:b/>
          <w:bCs/>
        </w:rPr>
        <w:t>Scope of Disclosure</w:t>
      </w:r>
    </w:p>
    <w:p w14:paraId="0E6AD228" w14:textId="77777777" w:rsidR="003A59D0" w:rsidRDefault="003A59D0" w:rsidP="00C46C31">
      <w:pPr>
        <w:pStyle w:val="BodyText"/>
        <w:ind w:right="137"/>
        <w:jc w:val="both"/>
      </w:pPr>
    </w:p>
    <w:p w14:paraId="07457F53" w14:textId="1ED45A16" w:rsidR="003A59D0" w:rsidRDefault="003A59D0" w:rsidP="00C46C31">
      <w:pPr>
        <w:pStyle w:val="BodyText"/>
        <w:ind w:left="416" w:right="137"/>
        <w:jc w:val="both"/>
      </w:pPr>
      <w:r>
        <w:lastRenderedPageBreak/>
        <w:t>This Agreement shall not be construed to obligate Data Supplier to disclose any particular information; rather, all such disclosures shall be at Data Supplier’ sole discretion.</w:t>
      </w:r>
    </w:p>
    <w:p w14:paraId="12F19AF6" w14:textId="18211C4C" w:rsidR="003A59D0" w:rsidRPr="00270D88" w:rsidRDefault="003A59D0" w:rsidP="003A59D0">
      <w:pPr>
        <w:pStyle w:val="BodyText"/>
        <w:numPr>
          <w:ilvl w:val="0"/>
          <w:numId w:val="1"/>
        </w:numPr>
        <w:ind w:right="137"/>
        <w:jc w:val="both"/>
        <w:rPr>
          <w:b/>
          <w:bCs/>
        </w:rPr>
      </w:pPr>
      <w:r w:rsidRPr="00270D88">
        <w:rPr>
          <w:b/>
          <w:bCs/>
        </w:rPr>
        <w:t>Ownership of Confidential Informa</w:t>
      </w:r>
      <w:r w:rsidR="005340E0" w:rsidRPr="00270D88">
        <w:rPr>
          <w:b/>
          <w:bCs/>
        </w:rPr>
        <w:t>tion</w:t>
      </w:r>
    </w:p>
    <w:p w14:paraId="5D8ADFD7" w14:textId="77777777" w:rsidR="003A59D0" w:rsidRDefault="003A59D0" w:rsidP="00C46C31">
      <w:pPr>
        <w:pStyle w:val="BodyText"/>
        <w:ind w:left="416" w:right="137"/>
        <w:jc w:val="both"/>
      </w:pPr>
    </w:p>
    <w:p w14:paraId="532EC09E" w14:textId="2E8F0458" w:rsidR="003A59D0" w:rsidRDefault="003A59D0" w:rsidP="00C46C31">
      <w:pPr>
        <w:pStyle w:val="BodyText"/>
        <w:ind w:left="416" w:right="137"/>
        <w:jc w:val="both"/>
      </w:pPr>
      <w:r>
        <w:t xml:space="preserve">BENEFITFOCUS understands and agrees that the Confidential Information is </w:t>
      </w:r>
      <w:proofErr w:type="gramStart"/>
      <w:r>
        <w:t>a valuable asset</w:t>
      </w:r>
      <w:proofErr w:type="gramEnd"/>
      <w:r>
        <w:t xml:space="preserve"> of Data Supplier, has substantial competitive value, and is of a confidential nature, and that Data Supplier owns and reserves all proprietary rights and interests in that Confidential Information.</w:t>
      </w:r>
    </w:p>
    <w:p w14:paraId="5197C2C9" w14:textId="77777777" w:rsidR="003A59D0" w:rsidRDefault="003A59D0" w:rsidP="00C46C31">
      <w:pPr>
        <w:pStyle w:val="BodyText"/>
        <w:ind w:left="416" w:right="137"/>
        <w:jc w:val="both"/>
      </w:pPr>
    </w:p>
    <w:p w14:paraId="328A54C2" w14:textId="28477A3B" w:rsidR="003A59D0" w:rsidRPr="00270D88" w:rsidRDefault="003A59D0" w:rsidP="003A59D0">
      <w:pPr>
        <w:pStyle w:val="BodyText"/>
        <w:numPr>
          <w:ilvl w:val="0"/>
          <w:numId w:val="1"/>
        </w:numPr>
        <w:ind w:right="137"/>
        <w:jc w:val="both"/>
        <w:rPr>
          <w:b/>
          <w:bCs/>
        </w:rPr>
      </w:pPr>
      <w:r w:rsidRPr="00270D88">
        <w:rPr>
          <w:b/>
          <w:bCs/>
        </w:rPr>
        <w:t>Use</w:t>
      </w:r>
    </w:p>
    <w:p w14:paraId="3C3DB638" w14:textId="77777777" w:rsidR="003A59D0" w:rsidRDefault="003A59D0" w:rsidP="00C46C31">
      <w:pPr>
        <w:pStyle w:val="BodyText"/>
        <w:ind w:left="416" w:right="137"/>
        <w:jc w:val="both"/>
      </w:pPr>
    </w:p>
    <w:p w14:paraId="2CE619F6" w14:textId="1E92C8CD" w:rsidR="003A59D0" w:rsidRDefault="003A59D0" w:rsidP="00C46C31">
      <w:pPr>
        <w:pStyle w:val="BodyText"/>
        <w:ind w:left="416" w:right="137"/>
        <w:jc w:val="both"/>
      </w:pPr>
      <w:r>
        <w:t>BENEFITFOCUS shall not directly or indirectly use or induce or permit others to use any of the Confidential Information for any purpose whatsoever, except as may be necessary for purposes of the Business Relationship, and in any event shall not use the Confidential Information in a manner that is detrimental to Data Supplier.</w:t>
      </w:r>
    </w:p>
    <w:p w14:paraId="48AD5E40" w14:textId="77777777" w:rsidR="003A59D0" w:rsidRDefault="003A59D0" w:rsidP="00C46C31">
      <w:pPr>
        <w:pStyle w:val="ListParagraph"/>
      </w:pPr>
    </w:p>
    <w:p w14:paraId="1D42CFD7" w14:textId="0F9A8D3A" w:rsidR="003A59D0" w:rsidRPr="00270D88" w:rsidRDefault="003A59D0" w:rsidP="003A59D0">
      <w:pPr>
        <w:pStyle w:val="BodyText"/>
        <w:numPr>
          <w:ilvl w:val="0"/>
          <w:numId w:val="1"/>
        </w:numPr>
        <w:ind w:right="137"/>
        <w:jc w:val="both"/>
        <w:rPr>
          <w:b/>
          <w:bCs/>
        </w:rPr>
      </w:pPr>
      <w:r w:rsidRPr="00270D88">
        <w:rPr>
          <w:b/>
          <w:bCs/>
        </w:rPr>
        <w:t>Nondisclosure</w:t>
      </w:r>
    </w:p>
    <w:p w14:paraId="3FBDF2A2" w14:textId="7A95812D" w:rsidR="003A59D0" w:rsidRDefault="003A59D0" w:rsidP="00C46C31">
      <w:pPr>
        <w:pStyle w:val="BodyText"/>
        <w:ind w:left="416" w:right="137"/>
        <w:jc w:val="both"/>
      </w:pPr>
    </w:p>
    <w:p w14:paraId="6853D65D" w14:textId="5F4AD87F" w:rsidR="003A59D0" w:rsidRDefault="003A59D0" w:rsidP="003A59D0">
      <w:pPr>
        <w:pStyle w:val="BodyText"/>
        <w:ind w:left="416" w:right="137"/>
        <w:jc w:val="both"/>
      </w:pPr>
      <w:r>
        <w:t>BENEFITFOCUS shall not directly or indirectly divulge, disclose, or communicate to any person, firm, entity, or other third party in any manner whatsoever any information relating to or constituting a part of the Confidential Information; provided, however, that such disclosures may be made to those of BENEFITFOCUS’ directors, officers, and employees (collectively, “Representatives”) with a specific need to know for purposes of the Business Relationship.</w:t>
      </w:r>
    </w:p>
    <w:p w14:paraId="54898F69" w14:textId="77777777" w:rsidR="003A59D0" w:rsidRDefault="003A59D0" w:rsidP="00C46C31">
      <w:pPr>
        <w:pStyle w:val="BodyText"/>
        <w:ind w:left="416" w:right="137"/>
        <w:jc w:val="both"/>
      </w:pPr>
    </w:p>
    <w:p w14:paraId="333BDAF0" w14:textId="20DD7D65" w:rsidR="005340E0" w:rsidRPr="00270D88" w:rsidRDefault="005340E0" w:rsidP="003A59D0">
      <w:pPr>
        <w:pStyle w:val="BodyText"/>
        <w:numPr>
          <w:ilvl w:val="0"/>
          <w:numId w:val="1"/>
        </w:numPr>
        <w:ind w:right="137"/>
        <w:jc w:val="both"/>
        <w:rPr>
          <w:b/>
          <w:bCs/>
        </w:rPr>
      </w:pPr>
      <w:r w:rsidRPr="00270D88">
        <w:rPr>
          <w:b/>
          <w:bCs/>
        </w:rPr>
        <w:t>Legal Process</w:t>
      </w:r>
    </w:p>
    <w:p w14:paraId="49DC4391" w14:textId="77777777" w:rsidR="005340E0" w:rsidRDefault="005340E0" w:rsidP="00C46C31">
      <w:pPr>
        <w:pStyle w:val="BodyText"/>
        <w:ind w:left="416" w:right="137"/>
        <w:jc w:val="both"/>
      </w:pPr>
    </w:p>
    <w:p w14:paraId="1D6F4757" w14:textId="18044D53" w:rsidR="003A59D0" w:rsidRDefault="003A59D0" w:rsidP="00C46C31">
      <w:pPr>
        <w:pStyle w:val="BodyText"/>
        <w:ind w:left="416" w:right="137"/>
        <w:jc w:val="both"/>
      </w:pPr>
      <w:r w:rsidRPr="003A59D0">
        <w:t xml:space="preserve">If </w:t>
      </w:r>
      <w:r>
        <w:t>BENEFITFOCUS</w:t>
      </w:r>
      <w:r w:rsidR="005340E0">
        <w:t xml:space="preserve"> or its r</w:t>
      </w:r>
      <w:r w:rsidRPr="003A59D0">
        <w:t xml:space="preserve">epresentatives are requested or required (by deposition, interrogatory, request for documents, subpoena, civil investigative </w:t>
      </w:r>
      <w:proofErr w:type="gramStart"/>
      <w:r w:rsidRPr="003A59D0">
        <w:t>demand</w:t>
      </w:r>
      <w:proofErr w:type="gramEnd"/>
      <w:r w:rsidRPr="003A59D0">
        <w:t xml:space="preserve"> or similar process) to disclose any Confidential Information, </w:t>
      </w:r>
      <w:r>
        <w:t>BENEFITFOCUS</w:t>
      </w:r>
      <w:r w:rsidRPr="003A59D0">
        <w:t xml:space="preserve"> will provide </w:t>
      </w:r>
      <w:r>
        <w:t>Data Supplier</w:t>
      </w:r>
      <w:r w:rsidRPr="003A59D0">
        <w:t xml:space="preserve"> with prompt notice of such requests so that </w:t>
      </w:r>
      <w:r>
        <w:t>Data Supplier</w:t>
      </w:r>
      <w:r w:rsidRPr="003A59D0">
        <w:t xml:space="preserve"> may seek an appropriate protective order or waive compliance with the provisions of this Agreement.  If </w:t>
      </w:r>
      <w:r>
        <w:t>BENEFITFOCUS</w:t>
      </w:r>
      <w:r w:rsidRPr="003A59D0">
        <w:t xml:space="preserve"> is required by law to disclose any Confidential Information, </w:t>
      </w:r>
      <w:r>
        <w:t>BENEFITFOCUS</w:t>
      </w:r>
      <w:r w:rsidRPr="003A59D0">
        <w:t xml:space="preserve"> shall disclose only that portion of the Confidential Information that its counsel advises in writing is legally required to be disclosed, and </w:t>
      </w:r>
      <w:r>
        <w:t>BENEFITFOCUS</w:t>
      </w:r>
      <w:r w:rsidRPr="003A59D0">
        <w:t xml:space="preserve"> shall take all commercially reasonable steps necessary to prevent the further disclosure of any Confidential Information so disclosed.  </w:t>
      </w:r>
    </w:p>
    <w:p w14:paraId="1D232648" w14:textId="77777777" w:rsidR="003A59D0" w:rsidRDefault="003A59D0" w:rsidP="00C46C31">
      <w:pPr>
        <w:pStyle w:val="ListParagraph"/>
      </w:pPr>
    </w:p>
    <w:p w14:paraId="1A86B89D" w14:textId="729C3CFA" w:rsidR="005340E0" w:rsidRPr="00270D88" w:rsidRDefault="003A59D0" w:rsidP="003A59D0">
      <w:pPr>
        <w:pStyle w:val="BodyText"/>
        <w:numPr>
          <w:ilvl w:val="0"/>
          <w:numId w:val="1"/>
        </w:numPr>
        <w:ind w:right="137"/>
        <w:jc w:val="both"/>
        <w:rPr>
          <w:b/>
          <w:bCs/>
        </w:rPr>
      </w:pPr>
      <w:r w:rsidRPr="00270D88">
        <w:rPr>
          <w:b/>
          <w:bCs/>
        </w:rPr>
        <w:t xml:space="preserve">Return of Confidential Information </w:t>
      </w:r>
    </w:p>
    <w:p w14:paraId="50E1BE2F" w14:textId="77777777" w:rsidR="005340E0" w:rsidRDefault="005340E0" w:rsidP="00C46C31">
      <w:pPr>
        <w:pStyle w:val="BodyText"/>
        <w:ind w:left="416" w:right="137"/>
        <w:jc w:val="both"/>
      </w:pPr>
    </w:p>
    <w:p w14:paraId="1441ABEA" w14:textId="47C0F772" w:rsidR="003A59D0" w:rsidRDefault="003A59D0" w:rsidP="00C46C31">
      <w:pPr>
        <w:pStyle w:val="BodyText"/>
        <w:ind w:left="416" w:right="137"/>
        <w:jc w:val="both"/>
      </w:pPr>
      <w:r w:rsidRPr="003A59D0">
        <w:t xml:space="preserve">Upon written request by </w:t>
      </w:r>
      <w:r>
        <w:t>Data Supplier</w:t>
      </w:r>
      <w:r w:rsidRPr="003A59D0">
        <w:t xml:space="preserve"> for any reason and at any time, </w:t>
      </w:r>
      <w:r>
        <w:t>BENEFITFOCUS</w:t>
      </w:r>
      <w:r w:rsidRPr="003A59D0">
        <w:t xml:space="preserve"> shall immediately take the following actions, </w:t>
      </w:r>
      <w:proofErr w:type="gramStart"/>
      <w:r w:rsidRPr="003A59D0">
        <w:t>whether or not</w:t>
      </w:r>
      <w:proofErr w:type="gramEnd"/>
      <w:r w:rsidRPr="003A59D0">
        <w:t xml:space="preserve"> </w:t>
      </w:r>
      <w:r>
        <w:t>BENEFITFOCUS</w:t>
      </w:r>
      <w:r w:rsidRPr="003A59D0">
        <w:t xml:space="preserve"> has completed its use of such items at the time of the request:</w:t>
      </w:r>
    </w:p>
    <w:p w14:paraId="28AFE519" w14:textId="77777777" w:rsidR="003A59D0" w:rsidRDefault="003A59D0" w:rsidP="00C46C31">
      <w:pPr>
        <w:pStyle w:val="ListParagraph"/>
      </w:pPr>
    </w:p>
    <w:p w14:paraId="7D3F4750" w14:textId="71556602" w:rsidR="003A59D0" w:rsidRDefault="003A59D0" w:rsidP="00C46C31">
      <w:pPr>
        <w:pStyle w:val="BodyText"/>
        <w:numPr>
          <w:ilvl w:val="1"/>
          <w:numId w:val="1"/>
        </w:numPr>
        <w:ind w:left="720" w:right="137"/>
        <w:jc w:val="both"/>
      </w:pPr>
      <w:r w:rsidRPr="003A59D0">
        <w:t xml:space="preserve">Return to </w:t>
      </w:r>
      <w:r>
        <w:t>Data Supplier</w:t>
      </w:r>
      <w:r w:rsidRPr="003A59D0">
        <w:t xml:space="preserve"> all copies of documents and tangible items provided by </w:t>
      </w:r>
      <w:r>
        <w:t>Data Supplier</w:t>
      </w:r>
      <w:r w:rsidRPr="003A59D0">
        <w:t xml:space="preserve"> under this Agreement containing, referring, or relating to the Confidential Information, without retaining any copies thereof, including any copies in electronic format or otherwise; and</w:t>
      </w:r>
    </w:p>
    <w:p w14:paraId="4B8B4277" w14:textId="77777777" w:rsidR="003A59D0" w:rsidRDefault="003A59D0" w:rsidP="00C46C31">
      <w:pPr>
        <w:pStyle w:val="BodyText"/>
        <w:ind w:left="720" w:right="137"/>
        <w:jc w:val="both"/>
      </w:pPr>
    </w:p>
    <w:p w14:paraId="2A1165C7" w14:textId="441623A5" w:rsidR="003A59D0" w:rsidRDefault="003A59D0" w:rsidP="00C46C31">
      <w:pPr>
        <w:pStyle w:val="BodyText"/>
        <w:numPr>
          <w:ilvl w:val="1"/>
          <w:numId w:val="1"/>
        </w:numPr>
        <w:ind w:left="720" w:right="137"/>
        <w:jc w:val="both"/>
      </w:pPr>
      <w:r w:rsidRPr="003A59D0">
        <w:t>Destroy</w:t>
      </w:r>
      <w:r w:rsidR="00903778">
        <w:t xml:space="preserve"> or delete according to back-up </w:t>
      </w:r>
      <w:proofErr w:type="gramStart"/>
      <w:r w:rsidR="00903778">
        <w:t>policies</w:t>
      </w:r>
      <w:r w:rsidRPr="003A59D0">
        <w:t>, and</w:t>
      </w:r>
      <w:proofErr w:type="gramEnd"/>
      <w:r w:rsidRPr="003A59D0">
        <w:t xml:space="preserve"> provide to </w:t>
      </w:r>
      <w:r>
        <w:t>Data Supplier</w:t>
      </w:r>
      <w:r w:rsidRPr="003A59D0">
        <w:t xml:space="preserve"> written certification of such destruction</w:t>
      </w:r>
      <w:r w:rsidR="00903778">
        <w:t xml:space="preserve"> or deletion</w:t>
      </w:r>
      <w:r w:rsidRPr="003A59D0">
        <w:t xml:space="preserve">, all summaries, analyses, compilations, descriptions, modifications, and other tangible items created by </w:t>
      </w:r>
      <w:r>
        <w:t>BENEFITFOCUS</w:t>
      </w:r>
      <w:r w:rsidRPr="003A59D0">
        <w:t xml:space="preserve"> from the documents and items referred to in subparagraph (a), in whatever format, including electronic format, that those items may be contained.  </w:t>
      </w:r>
    </w:p>
    <w:p w14:paraId="59EFB3A8" w14:textId="77777777" w:rsidR="003A59D0" w:rsidRDefault="003A59D0" w:rsidP="00C46C31">
      <w:pPr>
        <w:pStyle w:val="ListParagraph"/>
      </w:pPr>
    </w:p>
    <w:p w14:paraId="028360BD" w14:textId="66DB2462" w:rsidR="005340E0" w:rsidRPr="00270D88" w:rsidRDefault="003A59D0" w:rsidP="003A59D0">
      <w:pPr>
        <w:pStyle w:val="BodyText"/>
        <w:numPr>
          <w:ilvl w:val="0"/>
          <w:numId w:val="1"/>
        </w:numPr>
        <w:ind w:right="137"/>
        <w:jc w:val="both"/>
        <w:rPr>
          <w:b/>
          <w:bCs/>
        </w:rPr>
      </w:pPr>
      <w:r w:rsidRPr="00270D88">
        <w:rPr>
          <w:b/>
          <w:bCs/>
        </w:rPr>
        <w:t>Injunction</w:t>
      </w:r>
    </w:p>
    <w:p w14:paraId="70454B02" w14:textId="77777777" w:rsidR="005340E0" w:rsidRDefault="005340E0" w:rsidP="00C46C31">
      <w:pPr>
        <w:pStyle w:val="BodyText"/>
        <w:ind w:left="416" w:right="137"/>
        <w:jc w:val="both"/>
      </w:pPr>
    </w:p>
    <w:p w14:paraId="725B8746" w14:textId="6AFC6897" w:rsidR="003A59D0" w:rsidRDefault="003A59D0" w:rsidP="00C46C31">
      <w:pPr>
        <w:pStyle w:val="BodyText"/>
        <w:ind w:left="416" w:right="137"/>
        <w:jc w:val="both"/>
      </w:pPr>
      <w:r>
        <w:t>BENEFITFOCUS</w:t>
      </w:r>
      <w:r w:rsidRPr="003A59D0">
        <w:t xml:space="preserve"> further acknowledges that damages for the breach of the covenants contained in this Agreement would be an inadequate remedy, and that in the event of any such breach, </w:t>
      </w:r>
      <w:r>
        <w:t>Data Supplier</w:t>
      </w:r>
      <w:r w:rsidRPr="003A59D0">
        <w:t xml:space="preserve"> shall be entitled to injunctive or other equitable relief against </w:t>
      </w:r>
      <w:r>
        <w:t>BENEFITFOCUS</w:t>
      </w:r>
      <w:r w:rsidRPr="003A59D0">
        <w:t xml:space="preserve"> in addition to </w:t>
      </w:r>
      <w:proofErr w:type="gramStart"/>
      <w:r w:rsidRPr="003A59D0">
        <w:t>any and all</w:t>
      </w:r>
      <w:proofErr w:type="gramEnd"/>
      <w:r w:rsidRPr="003A59D0">
        <w:t xml:space="preserve"> remedies at law, including the recovery of damages and reasonable attorney’s fees.</w:t>
      </w:r>
    </w:p>
    <w:p w14:paraId="01979CC5" w14:textId="6B89C568" w:rsidR="003A59D0" w:rsidRDefault="003A59D0">
      <w:pPr>
        <w:pStyle w:val="BodyText"/>
        <w:spacing w:before="9"/>
      </w:pPr>
    </w:p>
    <w:p w14:paraId="713CC30F" w14:textId="77777777" w:rsidR="00E674E9" w:rsidRDefault="0087368B">
      <w:pPr>
        <w:pStyle w:val="Heading1"/>
        <w:numPr>
          <w:ilvl w:val="0"/>
          <w:numId w:val="1"/>
        </w:numPr>
        <w:tabs>
          <w:tab w:val="left" w:pos="472"/>
        </w:tabs>
        <w:ind w:left="471" w:hanging="332"/>
      </w:pPr>
      <w:r>
        <w:t>Indemnification</w:t>
      </w:r>
    </w:p>
    <w:p w14:paraId="43140558" w14:textId="77777777" w:rsidR="00E674E9" w:rsidRDefault="00E674E9">
      <w:pPr>
        <w:pStyle w:val="BodyText"/>
        <w:spacing w:before="1"/>
        <w:rPr>
          <w:b/>
          <w:sz w:val="21"/>
        </w:rPr>
      </w:pPr>
    </w:p>
    <w:p w14:paraId="721DD436" w14:textId="1E91DCCC" w:rsidR="00E674E9" w:rsidRDefault="0087368B" w:rsidP="00471A02">
      <w:pPr>
        <w:pStyle w:val="BodyText"/>
        <w:ind w:left="500" w:right="136"/>
        <w:jc w:val="both"/>
      </w:pPr>
      <w:r>
        <w:t>BENEFITFOCUS</w:t>
      </w:r>
      <w:r>
        <w:rPr>
          <w:spacing w:val="1"/>
        </w:rPr>
        <w:t xml:space="preserve"> </w:t>
      </w:r>
      <w:r>
        <w:t>agrees to</w:t>
      </w:r>
      <w:r>
        <w:rPr>
          <w:spacing w:val="1"/>
        </w:rPr>
        <w:t xml:space="preserve"> </w:t>
      </w:r>
      <w:r>
        <w:t>defend Data</w:t>
      </w:r>
      <w:r>
        <w:rPr>
          <w:spacing w:val="1"/>
        </w:rPr>
        <w:t xml:space="preserve"> </w:t>
      </w:r>
      <w:r>
        <w:t>Supplier</w:t>
      </w:r>
      <w:r>
        <w:rPr>
          <w:spacing w:val="1"/>
        </w:rPr>
        <w:t xml:space="preserve"> </w:t>
      </w:r>
      <w:r>
        <w:t>by indemnifying Data</w:t>
      </w:r>
      <w:r>
        <w:rPr>
          <w:spacing w:val="1"/>
        </w:rPr>
        <w:t xml:space="preserve"> </w:t>
      </w:r>
      <w:r>
        <w:t>Supplier</w:t>
      </w:r>
      <w:r>
        <w:rPr>
          <w:spacing w:val="1"/>
        </w:rPr>
        <w:t xml:space="preserve"> </w:t>
      </w:r>
      <w:r>
        <w:t>against</w:t>
      </w:r>
      <w:r>
        <w:rPr>
          <w:spacing w:val="1"/>
        </w:rPr>
        <w:t xml:space="preserve"> </w:t>
      </w:r>
      <w:r>
        <w:t>all</w:t>
      </w:r>
      <w:r>
        <w:rPr>
          <w:spacing w:val="1"/>
        </w:rPr>
        <w:t xml:space="preserve"> </w:t>
      </w:r>
      <w:r>
        <w:t>costs</w:t>
      </w:r>
      <w:r>
        <w:rPr>
          <w:spacing w:val="1"/>
        </w:rPr>
        <w:t xml:space="preserve"> </w:t>
      </w:r>
      <w:r>
        <w:t>and</w:t>
      </w:r>
      <w:r>
        <w:rPr>
          <w:spacing w:val="55"/>
        </w:rPr>
        <w:t xml:space="preserve"> </w:t>
      </w:r>
      <w:r>
        <w:t>damages</w:t>
      </w:r>
      <w:r>
        <w:rPr>
          <w:spacing w:val="1"/>
        </w:rPr>
        <w:t xml:space="preserve"> </w:t>
      </w:r>
      <w:r>
        <w:t>(including reasonable attorneys' fees) finally awarded by a court of competent jurisdiction or included in a settlement</w:t>
      </w:r>
      <w:r>
        <w:rPr>
          <w:spacing w:val="1"/>
        </w:rPr>
        <w:t xml:space="preserve"> </w:t>
      </w:r>
      <w:r>
        <w:t>arising from BENEFITFOCUS’s negligence or willful misconduct resulting in misuse, unauthorized disclosure, or other</w:t>
      </w:r>
      <w:r>
        <w:rPr>
          <w:spacing w:val="1"/>
        </w:rPr>
        <w:t xml:space="preserve"> </w:t>
      </w:r>
      <w:r>
        <w:t>misappropriation of the Data. Data Supplier will provide BENEFITFOCUS with prompt notice of any claim for which indemnification</w:t>
      </w:r>
      <w:r>
        <w:rPr>
          <w:spacing w:val="1"/>
        </w:rPr>
        <w:t xml:space="preserve"> </w:t>
      </w:r>
      <w:r>
        <w:t>is sought.</w:t>
      </w:r>
      <w:r>
        <w:rPr>
          <w:spacing w:val="1"/>
        </w:rPr>
        <w:t xml:space="preserve"> </w:t>
      </w:r>
      <w:r>
        <w:t xml:space="preserve">BENEFITFOCUS will be allowed to control the defense and settlement of any such claim, </w:t>
      </w:r>
      <w:r>
        <w:lastRenderedPageBreak/>
        <w:t>and Data Supplier agrees to</w:t>
      </w:r>
      <w:r>
        <w:rPr>
          <w:spacing w:val="1"/>
        </w:rPr>
        <w:t xml:space="preserve"> </w:t>
      </w:r>
      <w:r>
        <w:t xml:space="preserve">reasonably cooperate with BENEFITFOCUS in connection with such defense and settlement. </w:t>
      </w:r>
      <w:r w:rsidR="00471A02" w:rsidRPr="00024A55">
        <w:t xml:space="preserve">Notwithstanding the foregoing, </w:t>
      </w:r>
      <w:r w:rsidR="00471A02">
        <w:t>BENEFITFOCUS</w:t>
      </w:r>
      <w:r w:rsidR="00471A02" w:rsidRPr="00024A55">
        <w:t xml:space="preserve"> agrees that a settlement may not include an admission of guilt or liability or any injunctive remedy affecting </w:t>
      </w:r>
      <w:r w:rsidR="00471A02">
        <w:t>Data Supplier</w:t>
      </w:r>
      <w:r w:rsidR="00471A02" w:rsidRPr="00024A55">
        <w:t xml:space="preserve"> without </w:t>
      </w:r>
      <w:r w:rsidR="00471A02">
        <w:t xml:space="preserve">prior written consent. </w:t>
      </w:r>
      <w:r>
        <w:t>In no event will BENEFITFOCUS be liable to Data</w:t>
      </w:r>
      <w:r>
        <w:rPr>
          <w:spacing w:val="1"/>
        </w:rPr>
        <w:t xml:space="preserve"> </w:t>
      </w:r>
      <w:r>
        <w:t>Supplier for incidental, consequential, special, or punitive damages (including loss of profits, data, business, or</w:t>
      </w:r>
      <w:r>
        <w:rPr>
          <w:spacing w:val="1"/>
        </w:rPr>
        <w:t xml:space="preserve"> </w:t>
      </w:r>
      <w:r>
        <w:t>goodwill,</w:t>
      </w:r>
      <w:r>
        <w:rPr>
          <w:spacing w:val="8"/>
        </w:rPr>
        <w:t xml:space="preserve"> </w:t>
      </w:r>
      <w:r>
        <w:t>or</w:t>
      </w:r>
      <w:r>
        <w:rPr>
          <w:spacing w:val="7"/>
        </w:rPr>
        <w:t xml:space="preserve"> </w:t>
      </w:r>
      <w:r>
        <w:t>government</w:t>
      </w:r>
      <w:r>
        <w:rPr>
          <w:spacing w:val="7"/>
        </w:rPr>
        <w:t xml:space="preserve"> </w:t>
      </w:r>
      <w:r>
        <w:t>fines,</w:t>
      </w:r>
      <w:r>
        <w:rPr>
          <w:spacing w:val="6"/>
        </w:rPr>
        <w:t xml:space="preserve"> </w:t>
      </w:r>
      <w:r>
        <w:t>penalties,</w:t>
      </w:r>
      <w:r>
        <w:rPr>
          <w:spacing w:val="9"/>
        </w:rPr>
        <w:t xml:space="preserve"> </w:t>
      </w:r>
      <w:r>
        <w:t>taxes,</w:t>
      </w:r>
      <w:r>
        <w:rPr>
          <w:spacing w:val="7"/>
        </w:rPr>
        <w:t xml:space="preserve"> </w:t>
      </w:r>
      <w:r>
        <w:t>or</w:t>
      </w:r>
      <w:r>
        <w:rPr>
          <w:spacing w:val="7"/>
        </w:rPr>
        <w:t xml:space="preserve"> </w:t>
      </w:r>
      <w:r>
        <w:t>filing</w:t>
      </w:r>
      <w:r>
        <w:rPr>
          <w:spacing w:val="7"/>
        </w:rPr>
        <w:t xml:space="preserve"> </w:t>
      </w:r>
      <w:r>
        <w:t>fees),</w:t>
      </w:r>
      <w:r>
        <w:rPr>
          <w:spacing w:val="6"/>
        </w:rPr>
        <w:t xml:space="preserve"> </w:t>
      </w:r>
      <w:r>
        <w:t>regardless</w:t>
      </w:r>
      <w:r>
        <w:rPr>
          <w:spacing w:val="7"/>
        </w:rPr>
        <w:t xml:space="preserve"> </w:t>
      </w:r>
      <w:r>
        <w:t>of</w:t>
      </w:r>
      <w:r>
        <w:rPr>
          <w:spacing w:val="11"/>
        </w:rPr>
        <w:t xml:space="preserve"> </w:t>
      </w:r>
      <w:r>
        <w:t>whether</w:t>
      </w:r>
      <w:r>
        <w:rPr>
          <w:spacing w:val="7"/>
        </w:rPr>
        <w:t xml:space="preserve"> </w:t>
      </w:r>
      <w:r>
        <w:t>such</w:t>
      </w:r>
      <w:r>
        <w:rPr>
          <w:spacing w:val="9"/>
        </w:rPr>
        <w:t xml:space="preserve"> </w:t>
      </w:r>
      <w:r>
        <w:t>liability</w:t>
      </w:r>
      <w:r>
        <w:rPr>
          <w:spacing w:val="6"/>
        </w:rPr>
        <w:t xml:space="preserve"> </w:t>
      </w:r>
      <w:r>
        <w:t>is</w:t>
      </w:r>
      <w:r>
        <w:rPr>
          <w:spacing w:val="7"/>
        </w:rPr>
        <w:t xml:space="preserve"> </w:t>
      </w:r>
      <w:r>
        <w:t>based</w:t>
      </w:r>
      <w:r>
        <w:rPr>
          <w:spacing w:val="8"/>
        </w:rPr>
        <w:t xml:space="preserve"> </w:t>
      </w:r>
      <w:r>
        <w:t>on</w:t>
      </w:r>
      <w:r>
        <w:rPr>
          <w:spacing w:val="7"/>
        </w:rPr>
        <w:t xml:space="preserve"> </w:t>
      </w:r>
      <w:r>
        <w:t>breach</w:t>
      </w:r>
      <w:r>
        <w:rPr>
          <w:spacing w:val="-53"/>
        </w:rPr>
        <w:t xml:space="preserve"> </w:t>
      </w:r>
      <w:r>
        <w:t>of contract, tort, strict liability, breach of warranty, failure of essential purpose or otherwise, and even if advised of the</w:t>
      </w:r>
      <w:r>
        <w:rPr>
          <w:spacing w:val="1"/>
        </w:rPr>
        <w:t xml:space="preserve"> </w:t>
      </w:r>
      <w:r>
        <w:t>likelihood of</w:t>
      </w:r>
      <w:r>
        <w:rPr>
          <w:spacing w:val="1"/>
        </w:rPr>
        <w:t xml:space="preserve"> </w:t>
      </w:r>
      <w:r>
        <w:t>such</w:t>
      </w:r>
      <w:r>
        <w:rPr>
          <w:spacing w:val="-1"/>
        </w:rPr>
        <w:t xml:space="preserve"> </w:t>
      </w:r>
      <w:r>
        <w:t>damages.</w:t>
      </w:r>
    </w:p>
    <w:p w14:paraId="7D631440" w14:textId="77777777" w:rsidR="00E674E9" w:rsidRDefault="00E674E9">
      <w:pPr>
        <w:pStyle w:val="BodyText"/>
        <w:spacing w:before="7"/>
      </w:pPr>
    </w:p>
    <w:p w14:paraId="5D0CC62C" w14:textId="77777777" w:rsidR="00E674E9" w:rsidRDefault="0087368B">
      <w:pPr>
        <w:pStyle w:val="Heading1"/>
        <w:numPr>
          <w:ilvl w:val="0"/>
          <w:numId w:val="1"/>
        </w:numPr>
        <w:tabs>
          <w:tab w:val="left" w:pos="472"/>
        </w:tabs>
        <w:spacing w:before="1"/>
        <w:ind w:left="471" w:hanging="332"/>
      </w:pPr>
      <w:r>
        <w:t>Liability</w:t>
      </w:r>
    </w:p>
    <w:p w14:paraId="4E1B679E" w14:textId="77777777" w:rsidR="00E674E9" w:rsidRDefault="00E674E9">
      <w:pPr>
        <w:pStyle w:val="BodyText"/>
        <w:spacing w:before="1"/>
        <w:rPr>
          <w:b/>
          <w:sz w:val="21"/>
        </w:rPr>
      </w:pPr>
    </w:p>
    <w:p w14:paraId="0C62E5E1" w14:textId="54F01D27" w:rsidR="00E674E9" w:rsidRDefault="0087368B">
      <w:pPr>
        <w:pStyle w:val="BodyText"/>
        <w:ind w:left="500" w:right="131"/>
        <w:jc w:val="both"/>
      </w:pPr>
      <w:r>
        <w:t xml:space="preserve">Except for BENEFITFOCUS’s obligations to Data Supplier under Section </w:t>
      </w:r>
      <w:r w:rsidR="00F97C21">
        <w:t>10</w:t>
      </w:r>
      <w:r>
        <w:t xml:space="preserve"> (Indemnification), BENEFITFOCUS will have no liability to any party</w:t>
      </w:r>
      <w:r>
        <w:rPr>
          <w:spacing w:val="1"/>
        </w:rPr>
        <w:t xml:space="preserve"> </w:t>
      </w:r>
      <w:r>
        <w:t xml:space="preserve">under this DSA. For clarity, any </w:t>
      </w:r>
      <w:proofErr w:type="gramStart"/>
      <w:r>
        <w:t>third party</w:t>
      </w:r>
      <w:proofErr w:type="gramEnd"/>
      <w:r>
        <w:t xml:space="preserve"> claims arising under or relating to Data Supplier’s acts or omissions, or</w:t>
      </w:r>
      <w:r>
        <w:rPr>
          <w:spacing w:val="1"/>
        </w:rPr>
        <w:t xml:space="preserve"> </w:t>
      </w:r>
      <w:r>
        <w:t>Department’s</w:t>
      </w:r>
      <w:r>
        <w:rPr>
          <w:spacing w:val="-4"/>
        </w:rPr>
        <w:t xml:space="preserve"> </w:t>
      </w:r>
      <w:r>
        <w:t>or</w:t>
      </w:r>
      <w:r>
        <w:rPr>
          <w:spacing w:val="-4"/>
        </w:rPr>
        <w:t xml:space="preserve"> </w:t>
      </w:r>
      <w:r>
        <w:t>a</w:t>
      </w:r>
      <w:r>
        <w:rPr>
          <w:spacing w:val="-3"/>
        </w:rPr>
        <w:t xml:space="preserve"> </w:t>
      </w:r>
      <w:r>
        <w:t>third</w:t>
      </w:r>
      <w:r>
        <w:rPr>
          <w:spacing w:val="-3"/>
        </w:rPr>
        <w:t xml:space="preserve"> </w:t>
      </w:r>
      <w:r>
        <w:t>party’s</w:t>
      </w:r>
      <w:r>
        <w:rPr>
          <w:spacing w:val="-1"/>
        </w:rPr>
        <w:t xml:space="preserve"> </w:t>
      </w:r>
      <w:r>
        <w:t>acts</w:t>
      </w:r>
      <w:r>
        <w:rPr>
          <w:spacing w:val="-3"/>
        </w:rPr>
        <w:t xml:space="preserve"> </w:t>
      </w:r>
      <w:r>
        <w:t>or</w:t>
      </w:r>
      <w:r>
        <w:rPr>
          <w:spacing w:val="-5"/>
        </w:rPr>
        <w:t xml:space="preserve"> </w:t>
      </w:r>
      <w:r>
        <w:t>omissions,</w:t>
      </w:r>
      <w:r>
        <w:rPr>
          <w:spacing w:val="-4"/>
        </w:rPr>
        <w:t xml:space="preserve"> </w:t>
      </w:r>
      <w:r>
        <w:t>are</w:t>
      </w:r>
      <w:r>
        <w:rPr>
          <w:spacing w:val="-4"/>
        </w:rPr>
        <w:t xml:space="preserve"> </w:t>
      </w:r>
      <w:r>
        <w:t>not</w:t>
      </w:r>
      <w:r>
        <w:rPr>
          <w:spacing w:val="-4"/>
        </w:rPr>
        <w:t xml:space="preserve"> </w:t>
      </w:r>
      <w:r>
        <w:t>subject</w:t>
      </w:r>
      <w:r>
        <w:rPr>
          <w:spacing w:val="-4"/>
        </w:rPr>
        <w:t xml:space="preserve"> </w:t>
      </w:r>
      <w:r>
        <w:t>to</w:t>
      </w:r>
      <w:r>
        <w:rPr>
          <w:spacing w:val="-5"/>
        </w:rPr>
        <w:t xml:space="preserve"> </w:t>
      </w:r>
      <w:r>
        <w:t>this</w:t>
      </w:r>
      <w:r>
        <w:rPr>
          <w:spacing w:val="-4"/>
        </w:rPr>
        <w:t xml:space="preserve"> </w:t>
      </w:r>
      <w:r>
        <w:t>Agreement.</w:t>
      </w:r>
    </w:p>
    <w:p w14:paraId="4919952C" w14:textId="77777777" w:rsidR="00E674E9" w:rsidRDefault="00E674E9">
      <w:pPr>
        <w:jc w:val="both"/>
        <w:sectPr w:rsidR="00E674E9">
          <w:headerReference w:type="default" r:id="rId7"/>
          <w:footerReference w:type="default" r:id="rId8"/>
          <w:type w:val="continuous"/>
          <w:pgSz w:w="12240" w:h="15840"/>
          <w:pgMar w:top="880" w:right="580" w:bottom="1140" w:left="580" w:header="200" w:footer="952" w:gutter="0"/>
          <w:pgNumType w:start="1"/>
          <w:cols w:space="720"/>
        </w:sectPr>
      </w:pPr>
    </w:p>
    <w:p w14:paraId="757C87CE" w14:textId="77777777" w:rsidR="00E674E9" w:rsidRDefault="00E674E9">
      <w:pPr>
        <w:pStyle w:val="BodyText"/>
        <w:spacing w:before="10"/>
        <w:rPr>
          <w:sz w:val="17"/>
        </w:rPr>
      </w:pPr>
    </w:p>
    <w:p w14:paraId="4572ED56" w14:textId="77777777" w:rsidR="00E674E9" w:rsidRDefault="0087368B">
      <w:pPr>
        <w:pStyle w:val="Heading1"/>
        <w:numPr>
          <w:ilvl w:val="0"/>
          <w:numId w:val="1"/>
        </w:numPr>
        <w:tabs>
          <w:tab w:val="left" w:pos="472"/>
        </w:tabs>
        <w:spacing w:before="93"/>
        <w:ind w:left="471" w:hanging="332"/>
      </w:pPr>
      <w:bookmarkStart w:id="3" w:name="4.___Term"/>
      <w:bookmarkEnd w:id="3"/>
      <w:r>
        <w:t>Term</w:t>
      </w:r>
    </w:p>
    <w:p w14:paraId="6507CDB0" w14:textId="77777777" w:rsidR="00E674E9" w:rsidRDefault="00E674E9">
      <w:pPr>
        <w:pStyle w:val="BodyText"/>
        <w:spacing w:before="11"/>
        <w:rPr>
          <w:b/>
        </w:rPr>
      </w:pPr>
    </w:p>
    <w:p w14:paraId="776AC3C8" w14:textId="77777777" w:rsidR="00E674E9" w:rsidRDefault="0087368B">
      <w:pPr>
        <w:pStyle w:val="BodyText"/>
        <w:ind w:left="500"/>
        <w:jc w:val="both"/>
      </w:pPr>
      <w:bookmarkStart w:id="4" w:name="This_DSA_shall_continue_in_force_from_ye"/>
      <w:bookmarkEnd w:id="4"/>
      <w:r>
        <w:t>This</w:t>
      </w:r>
      <w:r>
        <w:rPr>
          <w:spacing w:val="4"/>
        </w:rPr>
        <w:t xml:space="preserve"> </w:t>
      </w:r>
      <w:r>
        <w:t>DSA</w:t>
      </w:r>
      <w:r>
        <w:rPr>
          <w:spacing w:val="1"/>
        </w:rPr>
        <w:t xml:space="preserve"> </w:t>
      </w:r>
      <w:r>
        <w:t>shall</w:t>
      </w:r>
      <w:r>
        <w:rPr>
          <w:spacing w:val="1"/>
        </w:rPr>
        <w:t xml:space="preserve"> </w:t>
      </w:r>
      <w:r>
        <w:t>continue</w:t>
      </w:r>
      <w:r>
        <w:rPr>
          <w:spacing w:val="1"/>
        </w:rPr>
        <w:t xml:space="preserve"> </w:t>
      </w:r>
      <w:r>
        <w:t>in</w:t>
      </w:r>
      <w:r>
        <w:rPr>
          <w:spacing w:val="5"/>
        </w:rPr>
        <w:t xml:space="preserve"> </w:t>
      </w:r>
      <w:r>
        <w:t>force</w:t>
      </w:r>
      <w:r>
        <w:rPr>
          <w:spacing w:val="-1"/>
        </w:rPr>
        <w:t xml:space="preserve"> </w:t>
      </w:r>
      <w:r>
        <w:t>from</w:t>
      </w:r>
      <w:r>
        <w:rPr>
          <w:spacing w:val="6"/>
        </w:rPr>
        <w:t xml:space="preserve"> </w:t>
      </w:r>
      <w:r>
        <w:t>year-to-year,</w:t>
      </w:r>
      <w:r>
        <w:rPr>
          <w:spacing w:val="2"/>
        </w:rPr>
        <w:t xml:space="preserve"> </w:t>
      </w:r>
      <w:r>
        <w:t>but</w:t>
      </w:r>
      <w:r>
        <w:rPr>
          <w:spacing w:val="4"/>
        </w:rPr>
        <w:t xml:space="preserve"> </w:t>
      </w:r>
      <w:r>
        <w:t>shall</w:t>
      </w:r>
      <w:r>
        <w:rPr>
          <w:spacing w:val="2"/>
        </w:rPr>
        <w:t xml:space="preserve"> </w:t>
      </w:r>
      <w:r>
        <w:t>terminate</w:t>
      </w:r>
      <w:r>
        <w:rPr>
          <w:spacing w:val="1"/>
        </w:rPr>
        <w:t xml:space="preserve"> </w:t>
      </w:r>
      <w:r>
        <w:t>automatically</w:t>
      </w:r>
      <w:r>
        <w:rPr>
          <w:spacing w:val="-2"/>
        </w:rPr>
        <w:t xml:space="preserve"> </w:t>
      </w:r>
      <w:r>
        <w:t>upon</w:t>
      </w:r>
      <w:r>
        <w:rPr>
          <w:spacing w:val="1"/>
        </w:rPr>
        <w:t xml:space="preserve"> </w:t>
      </w:r>
      <w:r>
        <w:t>the</w:t>
      </w:r>
      <w:r>
        <w:rPr>
          <w:spacing w:val="2"/>
        </w:rPr>
        <w:t xml:space="preserve"> </w:t>
      </w:r>
      <w:r>
        <w:t>earliest</w:t>
      </w:r>
      <w:r>
        <w:rPr>
          <w:spacing w:val="2"/>
        </w:rPr>
        <w:t xml:space="preserve"> </w:t>
      </w:r>
      <w:r>
        <w:t>of</w:t>
      </w:r>
      <w:r>
        <w:rPr>
          <w:spacing w:val="3"/>
        </w:rPr>
        <w:t xml:space="preserve"> </w:t>
      </w:r>
      <w:r>
        <w:t>the</w:t>
      </w:r>
      <w:r>
        <w:rPr>
          <w:spacing w:val="1"/>
        </w:rPr>
        <w:t xml:space="preserve"> </w:t>
      </w:r>
      <w:r>
        <w:t>following:</w:t>
      </w:r>
    </w:p>
    <w:p w14:paraId="55E5D09B" w14:textId="02907B9A" w:rsidR="00E674E9" w:rsidRDefault="0087368B" w:rsidP="00270D88">
      <w:pPr>
        <w:pStyle w:val="ListParagraph"/>
        <w:numPr>
          <w:ilvl w:val="1"/>
          <w:numId w:val="1"/>
        </w:numPr>
        <w:tabs>
          <w:tab w:val="left" w:pos="819"/>
        </w:tabs>
        <w:ind w:right="135" w:firstLine="0"/>
        <w:jc w:val="both"/>
        <w:rPr>
          <w:sz w:val="20"/>
        </w:rPr>
      </w:pPr>
      <w:r>
        <w:rPr>
          <w:sz w:val="20"/>
        </w:rPr>
        <w:t>the date agreed to by mutual agreement among the parties; (b) upon 60 days’ notice to Data Supplier from the</w:t>
      </w:r>
      <w:r>
        <w:rPr>
          <w:spacing w:val="1"/>
          <w:sz w:val="20"/>
        </w:rPr>
        <w:t xml:space="preserve"> </w:t>
      </w:r>
      <w:r>
        <w:rPr>
          <w:sz w:val="20"/>
        </w:rPr>
        <w:t xml:space="preserve">Department; and (c) immediately by Data Supplier or the Department, where </w:t>
      </w:r>
      <w:proofErr w:type="gramStart"/>
      <w:r>
        <w:rPr>
          <w:sz w:val="20"/>
        </w:rPr>
        <w:t>either has</w:t>
      </w:r>
      <w:proofErr w:type="gramEnd"/>
      <w:r>
        <w:rPr>
          <w:sz w:val="20"/>
        </w:rPr>
        <w:t xml:space="preserve"> a reasonable belief that BENEFITFOCUS</w:t>
      </w:r>
      <w:r>
        <w:rPr>
          <w:spacing w:val="1"/>
          <w:sz w:val="20"/>
        </w:rPr>
        <w:t xml:space="preserve"> </w:t>
      </w:r>
      <w:r>
        <w:rPr>
          <w:sz w:val="20"/>
        </w:rPr>
        <w:t>has</w:t>
      </w:r>
      <w:r>
        <w:rPr>
          <w:spacing w:val="-1"/>
          <w:sz w:val="20"/>
        </w:rPr>
        <w:t xml:space="preserve"> </w:t>
      </w:r>
      <w:r>
        <w:rPr>
          <w:sz w:val="20"/>
        </w:rPr>
        <w:t>breached</w:t>
      </w:r>
      <w:r>
        <w:rPr>
          <w:spacing w:val="-1"/>
          <w:sz w:val="20"/>
        </w:rPr>
        <w:t xml:space="preserve"> </w:t>
      </w:r>
      <w:r>
        <w:rPr>
          <w:sz w:val="20"/>
        </w:rPr>
        <w:t>this</w:t>
      </w:r>
      <w:r>
        <w:rPr>
          <w:spacing w:val="2"/>
          <w:sz w:val="20"/>
        </w:rPr>
        <w:t xml:space="preserve"> </w:t>
      </w:r>
      <w:r>
        <w:rPr>
          <w:sz w:val="20"/>
        </w:rPr>
        <w:t>DSA.</w:t>
      </w:r>
    </w:p>
    <w:p w14:paraId="6C80BB5F" w14:textId="77777777" w:rsidR="00E674E9" w:rsidRDefault="00E674E9">
      <w:pPr>
        <w:pStyle w:val="BodyText"/>
        <w:spacing w:before="9"/>
      </w:pPr>
    </w:p>
    <w:p w14:paraId="21A12F63" w14:textId="77777777" w:rsidR="00E674E9" w:rsidRDefault="0087368B">
      <w:pPr>
        <w:pStyle w:val="Heading1"/>
        <w:numPr>
          <w:ilvl w:val="0"/>
          <w:numId w:val="1"/>
        </w:numPr>
        <w:tabs>
          <w:tab w:val="left" w:pos="474"/>
        </w:tabs>
        <w:ind w:left="473" w:hanging="334"/>
      </w:pPr>
      <w:r>
        <w:t>Survival</w:t>
      </w:r>
    </w:p>
    <w:p w14:paraId="3FA3B6D1" w14:textId="77777777" w:rsidR="00E674E9" w:rsidRDefault="00E674E9">
      <w:pPr>
        <w:pStyle w:val="BodyText"/>
        <w:spacing w:before="2"/>
        <w:rPr>
          <w:b/>
          <w:sz w:val="21"/>
        </w:rPr>
      </w:pPr>
    </w:p>
    <w:p w14:paraId="06A93F34" w14:textId="285496DB" w:rsidR="00E674E9" w:rsidRDefault="0087368B" w:rsidP="00270D88">
      <w:pPr>
        <w:pStyle w:val="BodyText"/>
        <w:ind w:left="500"/>
        <w:jc w:val="both"/>
      </w:pPr>
      <w:r>
        <w:t>The</w:t>
      </w:r>
      <w:r>
        <w:rPr>
          <w:spacing w:val="-4"/>
        </w:rPr>
        <w:t xml:space="preserve"> </w:t>
      </w:r>
      <w:r>
        <w:t>indemnification</w:t>
      </w:r>
      <w:r>
        <w:rPr>
          <w:spacing w:val="-3"/>
        </w:rPr>
        <w:t xml:space="preserve"> </w:t>
      </w:r>
      <w:r>
        <w:t>obligations</w:t>
      </w:r>
      <w:r>
        <w:rPr>
          <w:spacing w:val="-2"/>
        </w:rPr>
        <w:t xml:space="preserve"> </w:t>
      </w:r>
      <w:r>
        <w:t>shall</w:t>
      </w:r>
      <w:r>
        <w:rPr>
          <w:spacing w:val="-4"/>
        </w:rPr>
        <w:t xml:space="preserve"> </w:t>
      </w:r>
      <w:r>
        <w:t>survive</w:t>
      </w:r>
      <w:r>
        <w:rPr>
          <w:spacing w:val="-1"/>
        </w:rPr>
        <w:t xml:space="preserve"> </w:t>
      </w:r>
      <w:r>
        <w:t>any</w:t>
      </w:r>
      <w:r>
        <w:rPr>
          <w:spacing w:val="-6"/>
        </w:rPr>
        <w:t xml:space="preserve"> </w:t>
      </w:r>
      <w:r>
        <w:t>termination,</w:t>
      </w:r>
      <w:r>
        <w:rPr>
          <w:spacing w:val="-3"/>
        </w:rPr>
        <w:t xml:space="preserve"> </w:t>
      </w:r>
      <w:proofErr w:type="gramStart"/>
      <w:r>
        <w:t>cancellation</w:t>
      </w:r>
      <w:proofErr w:type="gramEnd"/>
      <w:r>
        <w:rPr>
          <w:spacing w:val="-4"/>
        </w:rPr>
        <w:t xml:space="preserve"> </w:t>
      </w:r>
      <w:r>
        <w:t>or</w:t>
      </w:r>
      <w:r>
        <w:rPr>
          <w:spacing w:val="-2"/>
        </w:rPr>
        <w:t xml:space="preserve"> </w:t>
      </w:r>
      <w:r>
        <w:t>expiration</w:t>
      </w:r>
      <w:r>
        <w:rPr>
          <w:spacing w:val="-3"/>
        </w:rPr>
        <w:t xml:space="preserve"> </w:t>
      </w:r>
      <w:r>
        <w:t>of</w:t>
      </w:r>
      <w:r>
        <w:rPr>
          <w:spacing w:val="-1"/>
        </w:rPr>
        <w:t xml:space="preserve"> </w:t>
      </w:r>
      <w:r>
        <w:t>this</w:t>
      </w:r>
      <w:r>
        <w:rPr>
          <w:spacing w:val="7"/>
        </w:rPr>
        <w:t xml:space="preserve"> </w:t>
      </w:r>
      <w:r>
        <w:t>DSA.</w:t>
      </w:r>
      <w:r w:rsidR="00270D88">
        <w:t xml:space="preserve"> All other</w:t>
      </w:r>
      <w:r w:rsidR="00270D88" w:rsidRPr="00270D88">
        <w:t xml:space="preserve"> provisions of this Agreement shall continue for five years from the later of the </w:t>
      </w:r>
      <w:r w:rsidR="00270D88">
        <w:t xml:space="preserve">termination </w:t>
      </w:r>
      <w:r w:rsidR="00270D88" w:rsidRPr="00270D88">
        <w:t xml:space="preserve">date of this Agreement or the termination of </w:t>
      </w:r>
      <w:proofErr w:type="gramStart"/>
      <w:r w:rsidR="00270D88" w:rsidRPr="00270D88">
        <w:t>all of</w:t>
      </w:r>
      <w:proofErr w:type="gramEnd"/>
      <w:r w:rsidR="00270D88" w:rsidRPr="00270D88">
        <w:t xml:space="preserve"> the </w:t>
      </w:r>
      <w:r w:rsidR="00270D88">
        <w:t>b</w:t>
      </w:r>
      <w:r w:rsidR="00270D88" w:rsidRPr="00270D88">
        <w:t xml:space="preserve">usiness </w:t>
      </w:r>
      <w:r w:rsidR="00270D88">
        <w:t>r</w:t>
      </w:r>
      <w:r w:rsidR="00270D88" w:rsidRPr="00270D88">
        <w:t>elationship; provided, however, that with respect to any Confidential Information that constitutes a trade secret, the provisions of this Agreement shall continue for as long as such Confidential Information constitutes a trade secret under applicable law.  Additionally, any limitations on the use of Confidential Information governed by state or federal law will continue for the time periods set forth in such state or federal laws in addition to any other limitations on the use and disclosure of such Confidential</w:t>
      </w:r>
      <w:r w:rsidR="00270D88">
        <w:t xml:space="preserve"> Information set forth herein</w:t>
      </w:r>
      <w:r w:rsidR="00270D88" w:rsidRPr="00270D88">
        <w:t>.</w:t>
      </w:r>
    </w:p>
    <w:p w14:paraId="25EA681D" w14:textId="77777777" w:rsidR="00E674E9" w:rsidRDefault="00E674E9">
      <w:pPr>
        <w:pStyle w:val="BodyText"/>
        <w:spacing w:before="5"/>
      </w:pPr>
    </w:p>
    <w:p w14:paraId="2CA8D92F" w14:textId="77777777" w:rsidR="00E674E9" w:rsidRDefault="0087368B">
      <w:pPr>
        <w:pStyle w:val="Heading1"/>
        <w:numPr>
          <w:ilvl w:val="0"/>
          <w:numId w:val="1"/>
        </w:numPr>
        <w:tabs>
          <w:tab w:val="left" w:pos="472"/>
        </w:tabs>
        <w:ind w:left="471" w:hanging="332"/>
      </w:pPr>
      <w:r>
        <w:t>Controlling</w:t>
      </w:r>
      <w:r>
        <w:rPr>
          <w:spacing w:val="-3"/>
        </w:rPr>
        <w:t xml:space="preserve"> </w:t>
      </w:r>
      <w:r>
        <w:t>Law</w:t>
      </w:r>
    </w:p>
    <w:p w14:paraId="64A09FD6" w14:textId="77777777" w:rsidR="00E674E9" w:rsidRDefault="00E674E9">
      <w:pPr>
        <w:pStyle w:val="BodyText"/>
        <w:spacing w:before="1"/>
        <w:rPr>
          <w:b/>
          <w:sz w:val="21"/>
        </w:rPr>
      </w:pPr>
    </w:p>
    <w:p w14:paraId="0120C4B0" w14:textId="19494FA1" w:rsidR="00E674E9" w:rsidRDefault="0087368B">
      <w:pPr>
        <w:pStyle w:val="BodyText"/>
        <w:spacing w:before="1"/>
        <w:ind w:left="500" w:right="138"/>
        <w:jc w:val="both"/>
      </w:pPr>
      <w:r>
        <w:t>Any dispute arising out of or in connection with this DSA will be governed by the laws of the State of Wisconsin. BENEFITFOCUS</w:t>
      </w:r>
      <w:r>
        <w:rPr>
          <w:spacing w:val="1"/>
        </w:rPr>
        <w:t xml:space="preserve"> </w:t>
      </w:r>
      <w:r>
        <w:t>shall follow the notification requirements in Wis. Stat. § 134.98 for personal information. The Department is subject to</w:t>
      </w:r>
      <w:r>
        <w:rPr>
          <w:spacing w:val="1"/>
        </w:rPr>
        <w:t xml:space="preserve"> </w:t>
      </w:r>
      <w:r>
        <w:t>the</w:t>
      </w:r>
      <w:r>
        <w:rPr>
          <w:spacing w:val="-2"/>
        </w:rPr>
        <w:t xml:space="preserve"> </w:t>
      </w:r>
      <w:r>
        <w:t>provisions of</w:t>
      </w:r>
      <w:r>
        <w:rPr>
          <w:spacing w:val="1"/>
        </w:rPr>
        <w:t xml:space="preserve"> </w:t>
      </w:r>
      <w:r>
        <w:t>the</w:t>
      </w:r>
      <w:r>
        <w:rPr>
          <w:spacing w:val="-4"/>
        </w:rPr>
        <w:t xml:space="preserve"> </w:t>
      </w:r>
      <w:r>
        <w:t>Wisconsin</w:t>
      </w:r>
      <w:r>
        <w:rPr>
          <w:spacing w:val="1"/>
        </w:rPr>
        <w:t xml:space="preserve"> </w:t>
      </w:r>
      <w:r>
        <w:t>Public</w:t>
      </w:r>
      <w:r>
        <w:rPr>
          <w:spacing w:val="-1"/>
        </w:rPr>
        <w:t xml:space="preserve"> </w:t>
      </w:r>
      <w:r>
        <w:t>Records</w:t>
      </w:r>
      <w:r>
        <w:rPr>
          <w:spacing w:val="1"/>
        </w:rPr>
        <w:t xml:space="preserve"> </w:t>
      </w:r>
      <w:r>
        <w:t>Law</w:t>
      </w:r>
      <w:r>
        <w:rPr>
          <w:spacing w:val="-1"/>
        </w:rPr>
        <w:t xml:space="preserve"> </w:t>
      </w:r>
      <w:r>
        <w:t>(Wis.</w:t>
      </w:r>
      <w:r>
        <w:rPr>
          <w:spacing w:val="-1"/>
        </w:rPr>
        <w:t xml:space="preserve"> </w:t>
      </w:r>
      <w:r>
        <w:t>Stat.</w:t>
      </w:r>
      <w:r>
        <w:rPr>
          <w:spacing w:val="-1"/>
        </w:rPr>
        <w:t xml:space="preserve"> </w:t>
      </w:r>
      <w:r>
        <w:t>§ 19.31</w:t>
      </w:r>
      <w:r>
        <w:rPr>
          <w:spacing w:val="-1"/>
        </w:rPr>
        <w:t xml:space="preserve"> </w:t>
      </w:r>
      <w:r>
        <w:t>et</w:t>
      </w:r>
      <w:r>
        <w:rPr>
          <w:spacing w:val="2"/>
        </w:rPr>
        <w:t xml:space="preserve"> </w:t>
      </w:r>
      <w:r>
        <w:t>seq.).</w:t>
      </w:r>
    </w:p>
    <w:p w14:paraId="612655A6" w14:textId="77777777" w:rsidR="00E674E9" w:rsidRDefault="00E674E9">
      <w:pPr>
        <w:pStyle w:val="BodyText"/>
        <w:spacing w:before="1"/>
        <w:rPr>
          <w:sz w:val="19"/>
        </w:rPr>
      </w:pPr>
    </w:p>
    <w:p w14:paraId="16B0A69D" w14:textId="53055401" w:rsidR="00E674E9" w:rsidRDefault="0087368B">
      <w:pPr>
        <w:pStyle w:val="BodyText"/>
        <w:ind w:left="140" w:right="136"/>
        <w:jc w:val="both"/>
      </w:pPr>
      <w:r>
        <w:t>This DSA, including any applicable supplements, is the complete agreement regarding the data transfer of information,</w:t>
      </w:r>
      <w:r>
        <w:rPr>
          <w:spacing w:val="1"/>
        </w:rPr>
        <w:t xml:space="preserve"> </w:t>
      </w:r>
      <w:r>
        <w:t>and replaces all prior oral or written communications, representations, warranties, covenants, and Agreements between</w:t>
      </w:r>
      <w:r>
        <w:rPr>
          <w:spacing w:val="1"/>
        </w:rPr>
        <w:t xml:space="preserve"> </w:t>
      </w:r>
      <w:r>
        <w:t>Data Supplier, Department and BENEFITFOCUS regarding the transfer of such information.</w:t>
      </w:r>
      <w:r>
        <w:rPr>
          <w:spacing w:val="1"/>
        </w:rPr>
        <w:t xml:space="preserve"> </w:t>
      </w:r>
      <w:r>
        <w:t>Each party accepts the terms of this DSA</w:t>
      </w:r>
      <w:r>
        <w:rPr>
          <w:spacing w:val="1"/>
        </w:rPr>
        <w:t xml:space="preserve"> </w:t>
      </w:r>
      <w:r>
        <w:t>by signing this DSA (or another document that incorporates it by reference) by hand or electronically.</w:t>
      </w:r>
      <w:r>
        <w:rPr>
          <w:spacing w:val="1"/>
        </w:rPr>
        <w:t xml:space="preserve"> </w:t>
      </w:r>
      <w:r>
        <w:t>Once signed, any</w:t>
      </w:r>
      <w:r>
        <w:rPr>
          <w:spacing w:val="1"/>
        </w:rPr>
        <w:t xml:space="preserve"> </w:t>
      </w:r>
      <w:r>
        <w:t>reproduction of</w:t>
      </w:r>
      <w:r>
        <w:rPr>
          <w:spacing w:val="1"/>
        </w:rPr>
        <w:t xml:space="preserve"> </w:t>
      </w:r>
      <w:r>
        <w:t>this</w:t>
      </w:r>
      <w:r>
        <w:rPr>
          <w:spacing w:val="-1"/>
        </w:rPr>
        <w:t xml:space="preserve"> </w:t>
      </w:r>
      <w:r>
        <w:t>DSA</w:t>
      </w:r>
      <w:r>
        <w:rPr>
          <w:spacing w:val="1"/>
        </w:rPr>
        <w:t xml:space="preserve"> </w:t>
      </w:r>
      <w:r>
        <w:t>or</w:t>
      </w:r>
      <w:r>
        <w:rPr>
          <w:spacing w:val="4"/>
        </w:rPr>
        <w:t xml:space="preserve"> </w:t>
      </w:r>
      <w:r>
        <w:t>a</w:t>
      </w:r>
      <w:r>
        <w:rPr>
          <w:spacing w:val="-1"/>
        </w:rPr>
        <w:t xml:space="preserve"> </w:t>
      </w:r>
      <w:r>
        <w:t>supplement</w:t>
      </w:r>
      <w:r>
        <w:rPr>
          <w:spacing w:val="-2"/>
        </w:rPr>
        <w:t xml:space="preserve"> </w:t>
      </w:r>
      <w:r>
        <w:t>made</w:t>
      </w:r>
      <w:r>
        <w:rPr>
          <w:spacing w:val="-1"/>
        </w:rPr>
        <w:t xml:space="preserve"> </w:t>
      </w:r>
      <w:r>
        <w:t>by</w:t>
      </w:r>
      <w:r>
        <w:rPr>
          <w:spacing w:val="-4"/>
        </w:rPr>
        <w:t xml:space="preserve"> </w:t>
      </w:r>
      <w:r>
        <w:t>reliable</w:t>
      </w:r>
      <w:r>
        <w:rPr>
          <w:spacing w:val="-2"/>
        </w:rPr>
        <w:t xml:space="preserve"> </w:t>
      </w:r>
      <w:r>
        <w:t>means is</w:t>
      </w:r>
      <w:r>
        <w:rPr>
          <w:spacing w:val="-1"/>
        </w:rPr>
        <w:t xml:space="preserve"> </w:t>
      </w:r>
      <w:r>
        <w:t>considered</w:t>
      </w:r>
      <w:r>
        <w:rPr>
          <w:spacing w:val="1"/>
        </w:rPr>
        <w:t xml:space="preserve"> </w:t>
      </w:r>
      <w:r>
        <w:t>an</w:t>
      </w:r>
      <w:r>
        <w:rPr>
          <w:spacing w:val="-2"/>
        </w:rPr>
        <w:t xml:space="preserve"> </w:t>
      </w:r>
      <w:r>
        <w:t>original.</w:t>
      </w:r>
    </w:p>
    <w:p w14:paraId="00114A32" w14:textId="77777777" w:rsidR="00D55346" w:rsidRDefault="00D55346" w:rsidP="00D55346">
      <w:pPr>
        <w:pStyle w:val="BodyText"/>
        <w:rPr>
          <w:sz w:val="22"/>
        </w:rPr>
      </w:pPr>
    </w:p>
    <w:p w14:paraId="12252971" w14:textId="433C219B" w:rsidR="00D55346" w:rsidRDefault="00D55346" w:rsidP="00D55346">
      <w:pPr>
        <w:pStyle w:val="BodyText"/>
        <w:rPr>
          <w:sz w:val="22"/>
        </w:rPr>
      </w:pPr>
      <w:r>
        <w:rPr>
          <w:sz w:val="22"/>
        </w:rPr>
        <w:t xml:space="preserve">Agreed to: </w:t>
      </w:r>
      <w:r>
        <w:rPr>
          <w:sz w:val="22"/>
        </w:rPr>
        <w:tab/>
      </w:r>
      <w:r>
        <w:rPr>
          <w:sz w:val="22"/>
        </w:rPr>
        <w:tab/>
      </w:r>
      <w:r>
        <w:rPr>
          <w:sz w:val="22"/>
        </w:rPr>
        <w:tab/>
      </w:r>
      <w:r>
        <w:rPr>
          <w:sz w:val="22"/>
        </w:rPr>
        <w:tab/>
      </w:r>
      <w:r>
        <w:rPr>
          <w:sz w:val="22"/>
        </w:rPr>
        <w:tab/>
      </w:r>
      <w:r>
        <w:rPr>
          <w:sz w:val="22"/>
        </w:rPr>
        <w:tab/>
      </w:r>
      <w:r>
        <w:rPr>
          <w:sz w:val="22"/>
        </w:rPr>
        <w:tab/>
        <w:t>Agreed to:</w:t>
      </w:r>
    </w:p>
    <w:p w14:paraId="36B38C79" w14:textId="148A415D" w:rsidR="00D55346" w:rsidRDefault="00B86E58" w:rsidP="00D55346">
      <w:pPr>
        <w:pStyle w:val="BodyText"/>
        <w:rPr>
          <w:sz w:val="22"/>
        </w:rPr>
      </w:pPr>
      <w:r>
        <w:rPr>
          <w:b/>
          <w:bCs/>
          <w:sz w:val="22"/>
        </w:rPr>
        <w:t>[PBM Vendor]</w:t>
      </w:r>
      <w:r>
        <w:rPr>
          <w:b/>
          <w:bCs/>
          <w:sz w:val="22"/>
        </w:rPr>
        <w:tab/>
      </w:r>
      <w:r>
        <w:rPr>
          <w:b/>
          <w:bCs/>
          <w:sz w:val="22"/>
        </w:rPr>
        <w:tab/>
      </w:r>
      <w:r w:rsidR="00D55346">
        <w:rPr>
          <w:b/>
          <w:bCs/>
          <w:sz w:val="22"/>
        </w:rPr>
        <w:tab/>
      </w:r>
      <w:r w:rsidR="00D55346">
        <w:rPr>
          <w:b/>
          <w:bCs/>
          <w:sz w:val="22"/>
        </w:rPr>
        <w:tab/>
      </w:r>
      <w:r w:rsidR="00D55346">
        <w:rPr>
          <w:b/>
          <w:bCs/>
          <w:sz w:val="22"/>
        </w:rPr>
        <w:tab/>
      </w:r>
      <w:r w:rsidR="00D55346">
        <w:rPr>
          <w:b/>
          <w:bCs/>
          <w:sz w:val="22"/>
        </w:rPr>
        <w:tab/>
        <w:t>Benefitfocus.com, Inc.</w:t>
      </w:r>
    </w:p>
    <w:p w14:paraId="2120CF2E" w14:textId="77777777" w:rsidR="00D55346" w:rsidRDefault="00D55346" w:rsidP="00D55346">
      <w:pPr>
        <w:pStyle w:val="BodyText"/>
        <w:rPr>
          <w:sz w:val="22"/>
        </w:rPr>
      </w:pPr>
    </w:p>
    <w:p w14:paraId="02B8EDA8" w14:textId="1D404CEE" w:rsidR="00D55346" w:rsidRDefault="00D55346" w:rsidP="00D55346">
      <w:pPr>
        <w:pStyle w:val="BodyText"/>
        <w:rPr>
          <w:sz w:val="22"/>
        </w:rPr>
      </w:pPr>
      <w:r>
        <w:rPr>
          <w:sz w:val="22"/>
        </w:rPr>
        <w:t>By: ___________________________</w:t>
      </w:r>
      <w:r>
        <w:rPr>
          <w:sz w:val="22"/>
        </w:rPr>
        <w:tab/>
      </w:r>
      <w:r>
        <w:rPr>
          <w:sz w:val="22"/>
        </w:rPr>
        <w:tab/>
      </w:r>
      <w:r>
        <w:rPr>
          <w:sz w:val="22"/>
        </w:rPr>
        <w:tab/>
        <w:t>By: __________________________</w:t>
      </w:r>
    </w:p>
    <w:p w14:paraId="0B82069F" w14:textId="10E0BF13" w:rsidR="00D55346" w:rsidRDefault="00D55346" w:rsidP="00D55346">
      <w:pPr>
        <w:pStyle w:val="BodyText"/>
        <w:rPr>
          <w:sz w:val="22"/>
        </w:rPr>
      </w:pPr>
      <w:r>
        <w:rPr>
          <w:sz w:val="22"/>
        </w:rPr>
        <w:t xml:space="preserve">Name: </w:t>
      </w:r>
      <w:r w:rsidR="00B86E58">
        <w:rPr>
          <w:sz w:val="22"/>
        </w:rPr>
        <w:tab/>
      </w:r>
      <w:r w:rsidR="00B86E58">
        <w:rPr>
          <w:sz w:val="22"/>
        </w:rPr>
        <w:tab/>
      </w:r>
      <w:r w:rsidR="00B86E58">
        <w:rPr>
          <w:sz w:val="22"/>
        </w:rPr>
        <w:tab/>
      </w:r>
      <w:r>
        <w:rPr>
          <w:sz w:val="22"/>
        </w:rPr>
        <w:tab/>
      </w:r>
      <w:r>
        <w:rPr>
          <w:sz w:val="22"/>
        </w:rPr>
        <w:tab/>
      </w:r>
      <w:r>
        <w:rPr>
          <w:sz w:val="22"/>
        </w:rPr>
        <w:tab/>
      </w:r>
      <w:r>
        <w:rPr>
          <w:sz w:val="22"/>
        </w:rPr>
        <w:tab/>
      </w:r>
      <w:r>
        <w:rPr>
          <w:sz w:val="22"/>
        </w:rPr>
        <w:tab/>
        <w:t xml:space="preserve">Name: </w:t>
      </w:r>
    </w:p>
    <w:p w14:paraId="1644CB46" w14:textId="62A0681D" w:rsidR="00D55346" w:rsidRDefault="00D55346" w:rsidP="007C5CF5">
      <w:pPr>
        <w:pStyle w:val="BodyText"/>
        <w:tabs>
          <w:tab w:val="left" w:pos="5760"/>
        </w:tabs>
        <w:ind w:left="6480" w:hanging="6480"/>
        <w:rPr>
          <w:sz w:val="22"/>
        </w:rPr>
      </w:pPr>
      <w:r>
        <w:rPr>
          <w:sz w:val="22"/>
        </w:rPr>
        <w:t xml:space="preserve">Title: </w:t>
      </w:r>
      <w:r w:rsidR="00F97C21">
        <w:rPr>
          <w:sz w:val="22"/>
        </w:rPr>
        <w:tab/>
      </w:r>
      <w:r>
        <w:rPr>
          <w:sz w:val="22"/>
        </w:rPr>
        <w:t xml:space="preserve">Title: </w:t>
      </w:r>
    </w:p>
    <w:p w14:paraId="6836E7CD" w14:textId="73DE5752" w:rsidR="00D55346" w:rsidRDefault="00D55346" w:rsidP="007C5CF5">
      <w:pPr>
        <w:pStyle w:val="BodyText"/>
        <w:ind w:left="5760" w:hanging="5760"/>
        <w:rPr>
          <w:sz w:val="22"/>
        </w:rPr>
      </w:pPr>
      <w:r>
        <w:rPr>
          <w:sz w:val="22"/>
        </w:rPr>
        <w:t>Date: ________________</w:t>
      </w:r>
      <w:r w:rsidR="00F97C21">
        <w:rPr>
          <w:sz w:val="22"/>
        </w:rPr>
        <w:tab/>
      </w:r>
      <w:r>
        <w:rPr>
          <w:sz w:val="22"/>
        </w:rPr>
        <w:t>Date: _______________</w:t>
      </w:r>
    </w:p>
    <w:p w14:paraId="1D679AF3" w14:textId="77777777" w:rsidR="00D55346" w:rsidRDefault="00D55346" w:rsidP="00D55346">
      <w:pPr>
        <w:pStyle w:val="BodyText"/>
        <w:rPr>
          <w:sz w:val="22"/>
        </w:rPr>
      </w:pPr>
    </w:p>
    <w:p w14:paraId="5B924B4D" w14:textId="77777777" w:rsidR="00D55346" w:rsidRDefault="00D55346" w:rsidP="00D55346">
      <w:pPr>
        <w:pStyle w:val="BodyText"/>
        <w:rPr>
          <w:sz w:val="22"/>
        </w:rPr>
      </w:pPr>
      <w:r>
        <w:rPr>
          <w:sz w:val="22"/>
        </w:rPr>
        <w:t>Agreed to:</w:t>
      </w:r>
    </w:p>
    <w:p w14:paraId="165FAF8D" w14:textId="77777777" w:rsidR="00D55346" w:rsidRDefault="00D55346" w:rsidP="00D55346">
      <w:pPr>
        <w:pStyle w:val="BodyText"/>
        <w:rPr>
          <w:b/>
          <w:bCs/>
          <w:sz w:val="22"/>
        </w:rPr>
      </w:pPr>
      <w:r>
        <w:rPr>
          <w:b/>
          <w:bCs/>
          <w:sz w:val="22"/>
        </w:rPr>
        <w:t>Department of Employee Trust Funds</w:t>
      </w:r>
    </w:p>
    <w:p w14:paraId="6FDE813F" w14:textId="77777777" w:rsidR="00D55346" w:rsidRDefault="00D55346" w:rsidP="00D55346">
      <w:pPr>
        <w:pStyle w:val="BodyText"/>
        <w:rPr>
          <w:sz w:val="22"/>
        </w:rPr>
      </w:pPr>
    </w:p>
    <w:p w14:paraId="46114399" w14:textId="77777777" w:rsidR="00D55346" w:rsidRDefault="00D55346" w:rsidP="00D55346">
      <w:pPr>
        <w:pStyle w:val="BodyText"/>
        <w:rPr>
          <w:sz w:val="22"/>
        </w:rPr>
      </w:pPr>
      <w:r>
        <w:rPr>
          <w:sz w:val="22"/>
        </w:rPr>
        <w:t>By: ___________________________</w:t>
      </w:r>
    </w:p>
    <w:p w14:paraId="1F5B2C36" w14:textId="117BD452" w:rsidR="00D55346" w:rsidRDefault="00D55346" w:rsidP="00D55346">
      <w:pPr>
        <w:pStyle w:val="BodyText"/>
        <w:rPr>
          <w:sz w:val="22"/>
        </w:rPr>
      </w:pPr>
      <w:r>
        <w:rPr>
          <w:sz w:val="22"/>
        </w:rPr>
        <w:t xml:space="preserve">Name: </w:t>
      </w:r>
    </w:p>
    <w:p w14:paraId="4E9D3D49" w14:textId="121D1432" w:rsidR="00E674E9" w:rsidRDefault="00D55346">
      <w:pPr>
        <w:pStyle w:val="BodyText"/>
        <w:rPr>
          <w:b/>
          <w:sz w:val="22"/>
        </w:rPr>
      </w:pPr>
      <w:r>
        <w:rPr>
          <w:sz w:val="22"/>
        </w:rPr>
        <w:t xml:space="preserve">Title:  </w:t>
      </w:r>
      <w:r w:rsidR="00B86E58">
        <w:rPr>
          <w:sz w:val="22"/>
        </w:rPr>
        <w:tab/>
      </w:r>
      <w:r w:rsidR="00B86E58">
        <w:rPr>
          <w:sz w:val="22"/>
        </w:rPr>
        <w:tab/>
      </w:r>
      <w:r w:rsidR="00B86E58">
        <w:rPr>
          <w:sz w:val="22"/>
        </w:rPr>
        <w:tab/>
      </w:r>
      <w:r>
        <w:rPr>
          <w:sz w:val="22"/>
        </w:rPr>
        <w:t>Date: _________________</w:t>
      </w:r>
    </w:p>
    <w:sectPr w:rsidR="00E674E9">
      <w:type w:val="continuous"/>
      <w:pgSz w:w="12240" w:h="15840"/>
      <w:pgMar w:top="880" w:right="580" w:bottom="1140" w:left="580" w:header="20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FC13" w14:textId="77777777" w:rsidR="009C6FEF" w:rsidRDefault="0087368B">
      <w:r>
        <w:separator/>
      </w:r>
    </w:p>
  </w:endnote>
  <w:endnote w:type="continuationSeparator" w:id="0">
    <w:p w14:paraId="143CF2F4" w14:textId="77777777" w:rsidR="009C6FEF" w:rsidRDefault="0087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ADA" w14:textId="41453F6B" w:rsidR="00E674E9" w:rsidRDefault="00162DB0">
    <w:pPr>
      <w:pStyle w:val="BodyText"/>
      <w:spacing w:line="14" w:lineRule="auto"/>
    </w:pPr>
    <w:r>
      <w:rPr>
        <w:noProof/>
        <w:lang w:eastAsia="zh-CN"/>
      </w:rPr>
      <mc:AlternateContent>
        <mc:Choice Requires="wps">
          <w:drawing>
            <wp:anchor distT="0" distB="0" distL="114300" distR="114300" simplePos="0" relativeHeight="487518720" behindDoc="1" locked="0" layoutInCell="1" allowOverlap="1" wp14:anchorId="2FD43237" wp14:editId="497B25D7">
              <wp:simplePos x="0" y="0"/>
              <wp:positionH relativeFrom="margin">
                <wp:align>left</wp:align>
              </wp:positionH>
              <wp:positionV relativeFrom="page">
                <wp:posOffset>9269731</wp:posOffset>
              </wp:positionV>
              <wp:extent cx="76200" cy="45719"/>
              <wp:effectExtent l="0" t="0" r="0" b="1206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762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28F4" w14:textId="5721D082" w:rsidR="00E674E9" w:rsidRDefault="00E674E9">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43237" id="_x0000_t202" coordsize="21600,21600" o:spt="202" path="m,l,21600r21600,l21600,xe">
              <v:stroke joinstyle="miter"/>
              <v:path gradientshapeok="t" o:connecttype="rect"/>
            </v:shapetype>
            <v:shape id="docshape4" o:spid="_x0000_s1028" type="#_x0000_t202" style="position:absolute;margin-left:0;margin-top:729.9pt;width:6pt;height:3.6pt;flip:x y;z-index:-157977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" filled="f" stroked="f">
              <v:textbox inset="0,0,0,0">
                <w:txbxContent>
                  <w:p w14:paraId="349528F4" w14:textId="5721D082" w:rsidR="00E674E9" w:rsidRDefault="00E674E9">
                    <w:pPr>
                      <w:spacing w:before="15"/>
                      <w:ind w:left="20"/>
                      <w:rPr>
                        <w:sz w:val="16"/>
                      </w:rPr>
                    </w:pPr>
                  </w:p>
                </w:txbxContent>
              </v:textbox>
              <w10:wrap anchorx="margin" anchory="page"/>
            </v:shape>
          </w:pict>
        </mc:Fallback>
      </mc:AlternateContent>
    </w:r>
    <w:r>
      <w:rPr>
        <w:noProof/>
        <w:lang w:eastAsia="zh-CN"/>
      </w:rPr>
      <mc:AlternateContent>
        <mc:Choice Requires="wps">
          <w:drawing>
            <wp:anchor distT="0" distB="0" distL="114300" distR="114300" simplePos="0" relativeHeight="487519232" behindDoc="1" locked="0" layoutInCell="1" allowOverlap="1" wp14:anchorId="7A97299D" wp14:editId="44937F60">
              <wp:simplePos x="0" y="0"/>
              <wp:positionH relativeFrom="page">
                <wp:posOffset>6587490</wp:posOffset>
              </wp:positionH>
              <wp:positionV relativeFrom="page">
                <wp:posOffset>9314180</wp:posOffset>
              </wp:positionV>
              <wp:extent cx="547370" cy="1397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38C9" w14:textId="351A9333" w:rsidR="00E674E9" w:rsidRDefault="0087368B">
                          <w:pPr>
                            <w:spacing w:before="15"/>
                            <w:ind w:left="20"/>
                            <w:rPr>
                              <w:sz w:val="16"/>
                            </w:rPr>
                          </w:pPr>
                          <w:r>
                            <w:rPr>
                              <w:sz w:val="16"/>
                            </w:rPr>
                            <w:t>Page</w:t>
                          </w:r>
                          <w:r>
                            <w:rPr>
                              <w:spacing w:val="-1"/>
                              <w:sz w:val="16"/>
                            </w:rPr>
                            <w:t xml:space="preserve"> </w:t>
                          </w:r>
                          <w:r>
                            <w:fldChar w:fldCharType="begin"/>
                          </w:r>
                          <w:r>
                            <w:rPr>
                              <w:sz w:val="16"/>
                            </w:rPr>
                            <w:instrText xml:space="preserve"> PAGE </w:instrText>
                          </w:r>
                          <w:r>
                            <w:fldChar w:fldCharType="separate"/>
                          </w:r>
                          <w:r w:rsidR="00270D88">
                            <w:rPr>
                              <w:noProof/>
                              <w:sz w:val="16"/>
                            </w:rPr>
                            <w:t>1</w:t>
                          </w:r>
                          <w:r>
                            <w:fldChar w:fldCharType="end"/>
                          </w:r>
                          <w:r>
                            <w:rPr>
                              <w:spacing w:val="-1"/>
                              <w:sz w:val="16"/>
                            </w:rPr>
                            <w:t xml:space="preserve"> </w:t>
                          </w:r>
                          <w:r>
                            <w:rPr>
                              <w:sz w:val="16"/>
                            </w:rPr>
                            <w:t>of</w:t>
                          </w:r>
                          <w:r>
                            <w:rPr>
                              <w:spacing w:val="1"/>
                              <w:sz w:val="16"/>
                            </w:rPr>
                            <w:t xml:space="preserve"> </w:t>
                          </w: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99D" id="docshape5" o:spid="_x0000_s1029" type="#_x0000_t202" style="position:absolute;margin-left:518.7pt;margin-top:733.4pt;width:43.1pt;height:11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" filled="f" stroked="f">
              <v:textbox inset="0,0,0,0">
                <w:txbxContent>
                  <w:p w14:paraId="0D6B38C9" w14:textId="351A9333" w:rsidR="00E674E9" w:rsidRDefault="0087368B">
                    <w:pPr>
                      <w:spacing w:before="15"/>
                      <w:ind w:left="20"/>
                      <w:rPr>
                        <w:sz w:val="16"/>
                      </w:rPr>
                    </w:pPr>
                    <w:r>
                      <w:rPr>
                        <w:sz w:val="16"/>
                      </w:rPr>
                      <w:t>Page</w:t>
                    </w:r>
                    <w:r>
                      <w:rPr>
                        <w:spacing w:val="-1"/>
                        <w:sz w:val="16"/>
                      </w:rPr>
                      <w:t xml:space="preserve"> </w:t>
                    </w:r>
                    <w:r>
                      <w:fldChar w:fldCharType="begin"/>
                    </w:r>
                    <w:r>
                      <w:rPr>
                        <w:sz w:val="16"/>
                      </w:rPr>
                      <w:instrText xml:space="preserve"> PAGE </w:instrText>
                    </w:r>
                    <w:r>
                      <w:fldChar w:fldCharType="separate"/>
                    </w:r>
                    <w:r w:rsidR="00270D88">
                      <w:rPr>
                        <w:noProof/>
                        <w:sz w:val="16"/>
                      </w:rPr>
                      <w:t>1</w:t>
                    </w:r>
                    <w:r>
                      <w:fldChar w:fldCharType="end"/>
                    </w:r>
                    <w:r>
                      <w:rPr>
                        <w:spacing w:val="-1"/>
                        <w:sz w:val="16"/>
                      </w:rPr>
                      <w:t xml:space="preserve"> </w:t>
                    </w:r>
                    <w:r>
                      <w:rPr>
                        <w:sz w:val="16"/>
                      </w:rPr>
                      <w:t>of</w:t>
                    </w:r>
                    <w:r>
                      <w:rPr>
                        <w:spacing w:val="1"/>
                        <w:sz w:val="16"/>
                      </w:rPr>
                      <w:t xml:space="preserve"> </w:t>
                    </w:r>
                    <w:r>
                      <w:rPr>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4149" w14:textId="77777777" w:rsidR="009C6FEF" w:rsidRDefault="0087368B">
      <w:r>
        <w:separator/>
      </w:r>
    </w:p>
  </w:footnote>
  <w:footnote w:type="continuationSeparator" w:id="0">
    <w:p w14:paraId="696651EB" w14:textId="77777777" w:rsidR="009C6FEF" w:rsidRDefault="0087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F3F3" w14:textId="0143BF23" w:rsidR="00E674E9" w:rsidRDefault="00162DB0">
    <w:pPr>
      <w:pStyle w:val="BodyText"/>
      <w:spacing w:line="14" w:lineRule="auto"/>
    </w:pPr>
    <w:r>
      <w:rPr>
        <w:noProof/>
        <w:lang w:eastAsia="zh-CN"/>
      </w:rPr>
      <mc:AlternateContent>
        <mc:Choice Requires="wps">
          <w:drawing>
            <wp:anchor distT="0" distB="0" distL="114300" distR="114300" simplePos="0" relativeHeight="487517184" behindDoc="1" locked="0" layoutInCell="1" allowOverlap="1" wp14:anchorId="40CD5855" wp14:editId="1C22E1F9">
              <wp:simplePos x="0" y="0"/>
              <wp:positionH relativeFrom="page">
                <wp:posOffset>215900</wp:posOffset>
              </wp:positionH>
              <wp:positionV relativeFrom="page">
                <wp:posOffset>128905</wp:posOffset>
              </wp:positionV>
              <wp:extent cx="3176905" cy="11366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36D8" w14:textId="77777777" w:rsidR="00E674E9" w:rsidRDefault="0087368B">
                          <w:pPr>
                            <w:spacing w:line="179" w:lineRule="exact"/>
                            <w:rPr>
                              <w:sz w:val="16"/>
                            </w:rPr>
                          </w:pPr>
                          <w:r>
                            <w:rPr>
                              <w:spacing w:val="-1"/>
                              <w:sz w:val="16"/>
                            </w:rPr>
                            <w:t>DocuSign</w:t>
                          </w:r>
                          <w:r>
                            <w:rPr>
                              <w:spacing w:val="-10"/>
                              <w:sz w:val="16"/>
                            </w:rPr>
                            <w:t xml:space="preserve"> </w:t>
                          </w:r>
                          <w:r>
                            <w:rPr>
                              <w:spacing w:val="-1"/>
                              <w:sz w:val="16"/>
                            </w:rPr>
                            <w:t>Envelope</w:t>
                          </w:r>
                          <w:r>
                            <w:rPr>
                              <w:spacing w:val="-10"/>
                              <w:sz w:val="16"/>
                            </w:rPr>
                            <w:t xml:space="preserve"> </w:t>
                          </w:r>
                          <w:r>
                            <w:rPr>
                              <w:sz w:val="16"/>
                            </w:rPr>
                            <w:t>ID:</w:t>
                          </w:r>
                          <w:r>
                            <w:rPr>
                              <w:spacing w:val="-9"/>
                              <w:sz w:val="16"/>
                            </w:rPr>
                            <w:t xml:space="preserve"> </w:t>
                          </w:r>
                          <w:r>
                            <w:rPr>
                              <w:sz w:val="16"/>
                            </w:rPr>
                            <w:t>61AE033B-F541-4C5B-9A8E-B78DB390A5C4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D5855" id="_x0000_t202" coordsize="21600,21600" o:spt="202" path="m,l,21600r21600,l21600,xe">
              <v:stroke joinstyle="miter"/>
              <v:path gradientshapeok="t" o:connecttype="rect"/>
            </v:shapetype>
            <v:shape id="docshape1" o:spid="_x0000_s1026" type="#_x0000_t202" style="position:absolute;margin-left:17pt;margin-top:10.15pt;width:250.15pt;height:8.9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" filled="f" stroked="f">
              <v:textbox inset="0,0,0,0">
                <w:txbxContent>
                  <w:p w14:paraId="75E336D8" w14:textId="77777777" w:rsidR="00E674E9" w:rsidRDefault="0087368B">
                    <w:pPr>
                      <w:spacing w:line="179" w:lineRule="exact"/>
                      <w:rPr>
                        <w:sz w:val="16"/>
                      </w:rPr>
                    </w:pPr>
                    <w:r>
                      <w:rPr>
                        <w:spacing w:val="-1"/>
                        <w:sz w:val="16"/>
                      </w:rPr>
                      <w:t>DocuSign</w:t>
                    </w:r>
                    <w:r>
                      <w:rPr>
                        <w:spacing w:val="-10"/>
                        <w:sz w:val="16"/>
                      </w:rPr>
                      <w:t xml:space="preserve"> </w:t>
                    </w:r>
                    <w:r>
                      <w:rPr>
                        <w:spacing w:val="-1"/>
                        <w:sz w:val="16"/>
                      </w:rPr>
                      <w:t>Envelope</w:t>
                    </w:r>
                    <w:r>
                      <w:rPr>
                        <w:spacing w:val="-10"/>
                        <w:sz w:val="16"/>
                      </w:rPr>
                      <w:t xml:space="preserve"> </w:t>
                    </w:r>
                    <w:r>
                      <w:rPr>
                        <w:sz w:val="16"/>
                      </w:rPr>
                      <w:t>ID:</w:t>
                    </w:r>
                    <w:r>
                      <w:rPr>
                        <w:spacing w:val="-9"/>
                        <w:sz w:val="16"/>
                      </w:rPr>
                      <w:t xml:space="preserve"> </w:t>
                    </w:r>
                    <w:r>
                      <w:rPr>
                        <w:sz w:val="16"/>
                      </w:rPr>
                      <w:t>61AE033B-F541-4C5B-9A8E-B78DB390A5C4</w:t>
                    </w:r>
                  </w:p>
                </w:txbxContent>
              </v:textbox>
              <w10:wrap anchorx="page" anchory="page"/>
            </v:shape>
          </w:pict>
        </mc:Fallback>
      </mc:AlternateContent>
    </w:r>
    <w:r>
      <w:rPr>
        <w:noProof/>
        <w:lang w:eastAsia="zh-CN"/>
      </w:rPr>
      <mc:AlternateContent>
        <mc:Choice Requires="wps">
          <w:drawing>
            <wp:anchor distT="0" distB="0" distL="114300" distR="114300" simplePos="0" relativeHeight="487517696" behindDoc="1" locked="0" layoutInCell="1" allowOverlap="1" wp14:anchorId="20C28488" wp14:editId="515E73D0">
              <wp:simplePos x="0" y="0"/>
              <wp:positionH relativeFrom="page">
                <wp:posOffset>190500</wp:posOffset>
              </wp:positionH>
              <wp:positionV relativeFrom="page">
                <wp:posOffset>127000</wp:posOffset>
              </wp:positionV>
              <wp:extent cx="3429000" cy="1270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64C6" id="docshape2" o:spid="_x0000_s1026" style="position:absolute;margin-left:15pt;margin-top:10pt;width:270pt;height:10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" stroked="f">
              <w10:wrap anchorx="page" anchory="page"/>
            </v:rect>
          </w:pict>
        </mc:Fallback>
      </mc:AlternateContent>
    </w:r>
    <w:r>
      <w:rPr>
        <w:noProof/>
        <w:lang w:eastAsia="zh-CN"/>
      </w:rPr>
      <mc:AlternateContent>
        <mc:Choice Requires="wps">
          <w:drawing>
            <wp:anchor distT="0" distB="0" distL="114300" distR="114300" simplePos="0" relativeHeight="487518208" behindDoc="1" locked="0" layoutInCell="1" allowOverlap="1" wp14:anchorId="61630C1A" wp14:editId="748D7241">
              <wp:simplePos x="0" y="0"/>
              <wp:positionH relativeFrom="page">
                <wp:posOffset>203200</wp:posOffset>
              </wp:positionH>
              <wp:positionV relativeFrom="page">
                <wp:posOffset>116205</wp:posOffset>
              </wp:positionV>
              <wp:extent cx="3185160" cy="13906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7B3B" w14:textId="41B985DC" w:rsidR="00E674E9" w:rsidRDefault="00E674E9">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0C1A" id="docshape3" o:spid="_x0000_s1027" type="#_x0000_t202" style="position:absolute;margin-left:16pt;margin-top:9.15pt;width:250.8pt;height:10.9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" filled="f" stroked="f">
              <v:textbox inset="0,0,0,0">
                <w:txbxContent>
                  <w:p w14:paraId="4F9F7B3B" w14:textId="41B985DC" w:rsidR="00E674E9" w:rsidRDefault="00E674E9">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A2095"/>
    <w:multiLevelType w:val="hybridMultilevel"/>
    <w:tmpl w:val="5EE26D12"/>
    <w:lvl w:ilvl="0" w:tplc="C2B42B6C">
      <w:start w:val="1"/>
      <w:numFmt w:val="decimal"/>
      <w:lvlText w:val="%1."/>
      <w:lvlJc w:val="left"/>
      <w:pPr>
        <w:ind w:left="416" w:hanging="276"/>
      </w:pPr>
      <w:rPr>
        <w:rFonts w:ascii="Arial" w:eastAsia="Arial" w:hAnsi="Arial" w:cs="Arial" w:hint="default"/>
        <w:b/>
        <w:bCs/>
        <w:i w:val="0"/>
        <w:iCs w:val="0"/>
        <w:spacing w:val="-1"/>
        <w:w w:val="99"/>
        <w:sz w:val="20"/>
        <w:szCs w:val="20"/>
      </w:rPr>
    </w:lvl>
    <w:lvl w:ilvl="1" w:tplc="3C0861A4">
      <w:start w:val="1"/>
      <w:numFmt w:val="lowerLetter"/>
      <w:lvlText w:val="(%2)"/>
      <w:lvlJc w:val="left"/>
      <w:pPr>
        <w:ind w:left="500" w:hanging="319"/>
      </w:pPr>
      <w:rPr>
        <w:rFonts w:ascii="Arial" w:eastAsia="Arial" w:hAnsi="Arial" w:cs="Arial" w:hint="default"/>
        <w:b w:val="0"/>
        <w:bCs w:val="0"/>
        <w:i w:val="0"/>
        <w:iCs w:val="0"/>
        <w:spacing w:val="-1"/>
        <w:w w:val="99"/>
        <w:sz w:val="20"/>
        <w:szCs w:val="20"/>
      </w:rPr>
    </w:lvl>
    <w:lvl w:ilvl="2" w:tplc="48E6FCEC">
      <w:numFmt w:val="bullet"/>
      <w:lvlText w:val="•"/>
      <w:lvlJc w:val="left"/>
      <w:pPr>
        <w:ind w:left="1675" w:hanging="319"/>
      </w:pPr>
      <w:rPr>
        <w:rFonts w:hint="default"/>
      </w:rPr>
    </w:lvl>
    <w:lvl w:ilvl="3" w:tplc="AB50BB78">
      <w:numFmt w:val="bullet"/>
      <w:lvlText w:val="•"/>
      <w:lvlJc w:val="left"/>
      <w:pPr>
        <w:ind w:left="2851" w:hanging="319"/>
      </w:pPr>
      <w:rPr>
        <w:rFonts w:hint="default"/>
      </w:rPr>
    </w:lvl>
    <w:lvl w:ilvl="4" w:tplc="8DFA2FD8">
      <w:numFmt w:val="bullet"/>
      <w:lvlText w:val="•"/>
      <w:lvlJc w:val="left"/>
      <w:pPr>
        <w:ind w:left="4026" w:hanging="319"/>
      </w:pPr>
      <w:rPr>
        <w:rFonts w:hint="default"/>
      </w:rPr>
    </w:lvl>
    <w:lvl w:ilvl="5" w:tplc="E8F6AA08">
      <w:numFmt w:val="bullet"/>
      <w:lvlText w:val="•"/>
      <w:lvlJc w:val="left"/>
      <w:pPr>
        <w:ind w:left="5202" w:hanging="319"/>
      </w:pPr>
      <w:rPr>
        <w:rFonts w:hint="default"/>
      </w:rPr>
    </w:lvl>
    <w:lvl w:ilvl="6" w:tplc="82708860">
      <w:numFmt w:val="bullet"/>
      <w:lvlText w:val="•"/>
      <w:lvlJc w:val="left"/>
      <w:pPr>
        <w:ind w:left="6377" w:hanging="319"/>
      </w:pPr>
      <w:rPr>
        <w:rFonts w:hint="default"/>
      </w:rPr>
    </w:lvl>
    <w:lvl w:ilvl="7" w:tplc="375C37E8">
      <w:numFmt w:val="bullet"/>
      <w:lvlText w:val="•"/>
      <w:lvlJc w:val="left"/>
      <w:pPr>
        <w:ind w:left="7553" w:hanging="319"/>
      </w:pPr>
      <w:rPr>
        <w:rFonts w:hint="default"/>
      </w:rPr>
    </w:lvl>
    <w:lvl w:ilvl="8" w:tplc="34F2A408">
      <w:numFmt w:val="bullet"/>
      <w:lvlText w:val="•"/>
      <w:lvlJc w:val="left"/>
      <w:pPr>
        <w:ind w:left="8728" w:hanging="319"/>
      </w:pPr>
      <w:rPr>
        <w:rFonts w:hint="default"/>
      </w:rPr>
    </w:lvl>
  </w:abstractNum>
  <w:num w:numId="1" w16cid:durableId="93182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E9"/>
    <w:rsid w:val="00162DB0"/>
    <w:rsid w:val="001C683A"/>
    <w:rsid w:val="00224929"/>
    <w:rsid w:val="00270D88"/>
    <w:rsid w:val="003A59D0"/>
    <w:rsid w:val="003F3EAE"/>
    <w:rsid w:val="00471A02"/>
    <w:rsid w:val="004A4803"/>
    <w:rsid w:val="005340E0"/>
    <w:rsid w:val="0068603A"/>
    <w:rsid w:val="007C5CF5"/>
    <w:rsid w:val="0087368B"/>
    <w:rsid w:val="00903778"/>
    <w:rsid w:val="009C6FEF"/>
    <w:rsid w:val="00A84C4A"/>
    <w:rsid w:val="00B86E58"/>
    <w:rsid w:val="00BC3B17"/>
    <w:rsid w:val="00C46C31"/>
    <w:rsid w:val="00D55346"/>
    <w:rsid w:val="00E674E9"/>
    <w:rsid w:val="00F97C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90F178"/>
  <w15:docId w15:val="{47294926-8F68-43E2-8CFB-1755CDBC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1" w:hanging="3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1" w:hanging="3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68B"/>
    <w:pPr>
      <w:tabs>
        <w:tab w:val="center" w:pos="4680"/>
        <w:tab w:val="right" w:pos="9360"/>
      </w:tabs>
    </w:pPr>
  </w:style>
  <w:style w:type="character" w:customStyle="1" w:styleId="HeaderChar">
    <w:name w:val="Header Char"/>
    <w:basedOn w:val="DefaultParagraphFont"/>
    <w:link w:val="Header"/>
    <w:uiPriority w:val="99"/>
    <w:rsid w:val="0087368B"/>
    <w:rPr>
      <w:rFonts w:ascii="Arial" w:eastAsia="Arial" w:hAnsi="Arial" w:cs="Arial"/>
    </w:rPr>
  </w:style>
  <w:style w:type="paragraph" w:styleId="Footer">
    <w:name w:val="footer"/>
    <w:basedOn w:val="Normal"/>
    <w:link w:val="FooterChar"/>
    <w:uiPriority w:val="99"/>
    <w:unhideWhenUsed/>
    <w:rsid w:val="0087368B"/>
    <w:pPr>
      <w:tabs>
        <w:tab w:val="center" w:pos="4680"/>
        <w:tab w:val="right" w:pos="9360"/>
      </w:tabs>
    </w:pPr>
  </w:style>
  <w:style w:type="character" w:customStyle="1" w:styleId="FooterChar">
    <w:name w:val="Footer Char"/>
    <w:basedOn w:val="DefaultParagraphFont"/>
    <w:link w:val="Footer"/>
    <w:uiPriority w:val="99"/>
    <w:rsid w:val="0087368B"/>
    <w:rPr>
      <w:rFonts w:ascii="Arial" w:eastAsia="Arial" w:hAnsi="Arial" w:cs="Arial"/>
    </w:rPr>
  </w:style>
  <w:style w:type="paragraph" w:styleId="BalloonText">
    <w:name w:val="Balloon Text"/>
    <w:basedOn w:val="Normal"/>
    <w:link w:val="BalloonTextChar"/>
    <w:uiPriority w:val="99"/>
    <w:semiHidden/>
    <w:unhideWhenUsed/>
    <w:rsid w:val="00471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02"/>
    <w:rPr>
      <w:rFonts w:ascii="Segoe UI" w:eastAsia="Arial" w:hAnsi="Segoe UI" w:cs="Segoe UI"/>
      <w:sz w:val="18"/>
      <w:szCs w:val="18"/>
    </w:rPr>
  </w:style>
  <w:style w:type="paragraph" w:styleId="BodyTextFirstIndent">
    <w:name w:val="Body Text First Indent"/>
    <w:basedOn w:val="BodyText"/>
    <w:link w:val="BodyTextFirstIndentChar"/>
    <w:uiPriority w:val="99"/>
    <w:semiHidden/>
    <w:unhideWhenUsed/>
    <w:rsid w:val="003A59D0"/>
    <w:pPr>
      <w:ind w:firstLine="360"/>
    </w:pPr>
    <w:rPr>
      <w:sz w:val="22"/>
      <w:szCs w:val="22"/>
    </w:rPr>
  </w:style>
  <w:style w:type="character" w:customStyle="1" w:styleId="BodyTextChar">
    <w:name w:val="Body Text Char"/>
    <w:basedOn w:val="DefaultParagraphFont"/>
    <w:link w:val="BodyText"/>
    <w:uiPriority w:val="1"/>
    <w:rsid w:val="003A59D0"/>
    <w:rPr>
      <w:rFonts w:ascii="Arial" w:eastAsia="Arial" w:hAnsi="Arial" w:cs="Arial"/>
      <w:sz w:val="20"/>
      <w:szCs w:val="20"/>
    </w:rPr>
  </w:style>
  <w:style w:type="character" w:customStyle="1" w:styleId="BodyTextFirstIndentChar">
    <w:name w:val="Body Text First Indent Char"/>
    <w:basedOn w:val="BodyTextChar"/>
    <w:link w:val="BodyTextFirstIndent"/>
    <w:uiPriority w:val="99"/>
    <w:semiHidden/>
    <w:rsid w:val="003A59D0"/>
    <w:rPr>
      <w:rFonts w:ascii="Arial" w:eastAsia="Arial" w:hAnsi="Arial" w:cs="Arial"/>
      <w:sz w:val="20"/>
      <w:szCs w:val="20"/>
    </w:rPr>
  </w:style>
  <w:style w:type="paragraph" w:styleId="Title">
    <w:name w:val="Title"/>
    <w:aliases w:val="t"/>
    <w:basedOn w:val="Normal"/>
    <w:link w:val="TitleChar"/>
    <w:qFormat/>
    <w:rsid w:val="003A59D0"/>
    <w:pPr>
      <w:widowControl/>
      <w:autoSpaceDE/>
      <w:autoSpaceDN/>
      <w:spacing w:before="240" w:after="60"/>
      <w:jc w:val="center"/>
      <w:outlineLvl w:val="0"/>
    </w:pPr>
    <w:rPr>
      <w:rFonts w:ascii="Times New Roman" w:eastAsia="Times New Roman" w:hAnsi="Times New Roman"/>
      <w:b/>
      <w:bCs/>
      <w:kern w:val="28"/>
      <w:sz w:val="32"/>
      <w:szCs w:val="32"/>
    </w:rPr>
  </w:style>
  <w:style w:type="character" w:customStyle="1" w:styleId="TitleChar">
    <w:name w:val="Title Char"/>
    <w:aliases w:val="t Char"/>
    <w:basedOn w:val="DefaultParagraphFont"/>
    <w:link w:val="Title"/>
    <w:rsid w:val="003A59D0"/>
    <w:rPr>
      <w:rFonts w:ascii="Times New Roman" w:eastAsia="Times New Roman" w:hAnsi="Times New Roman" w:cs="Arial"/>
      <w:b/>
      <w:bCs/>
      <w:kern w:val="28"/>
      <w:sz w:val="32"/>
      <w:szCs w:val="32"/>
    </w:rPr>
  </w:style>
  <w:style w:type="paragraph" w:styleId="Revision">
    <w:name w:val="Revision"/>
    <w:hidden/>
    <w:uiPriority w:val="99"/>
    <w:semiHidden/>
    <w:rsid w:val="0090377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 Gurss</dc:creator>
  <cp:lastModifiedBy>Klaas, Joanne L - ETF</cp:lastModifiedBy>
  <cp:revision>3</cp:revision>
  <dcterms:created xsi:type="dcterms:W3CDTF">2024-02-16T15:48:00Z</dcterms:created>
  <dcterms:modified xsi:type="dcterms:W3CDTF">2024-02-16T15:56:00Z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2021-11-08T00:00:00Z</vt:filetime>
  </property>
</Properties>
</file>