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62" w:type="dxa"/>
        <w:tblLayout w:type="fixed"/>
        <w:tblLook w:val="0000" w:firstRow="0" w:lastRow="0" w:firstColumn="0" w:lastColumn="0" w:noHBand="0" w:noVBand="0"/>
      </w:tblPr>
      <w:tblGrid>
        <w:gridCol w:w="2970"/>
        <w:gridCol w:w="5940"/>
        <w:gridCol w:w="2250"/>
      </w:tblGrid>
      <w:tr w:rsidR="00BA5005" w:rsidRPr="000E00FF" w14:paraId="51B207BE" w14:textId="77777777" w:rsidTr="00EF171A">
        <w:trPr>
          <w:trHeight w:val="1523"/>
        </w:trPr>
        <w:tc>
          <w:tcPr>
            <w:tcW w:w="2970" w:type="dxa"/>
          </w:tcPr>
          <w:p w14:paraId="5D0B4C5B" w14:textId="77777777" w:rsidR="00BA5005" w:rsidRPr="000E00FF" w:rsidRDefault="005E4423">
            <w:pPr>
              <w:rPr>
                <w:sz w:val="24"/>
                <w:szCs w:val="24"/>
              </w:rPr>
            </w:pPr>
            <w:r w:rsidRPr="000E00FF">
              <w:rPr>
                <w:noProof/>
                <w:sz w:val="24"/>
                <w:szCs w:val="24"/>
              </w:rPr>
              <w:drawing>
                <wp:inline distT="0" distB="0" distL="0" distR="0" wp14:anchorId="6D6C4B1C" wp14:editId="6E8A6070">
                  <wp:extent cx="1828800" cy="1005840"/>
                  <wp:effectExtent l="0" t="0" r="0" b="3810"/>
                  <wp:docPr id="2" name="Picture 2" descr="ETF_logo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F_logo_larg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4751" b="5656"/>
                          <a:stretch/>
                        </pic:blipFill>
                        <pic:spPr bwMode="auto">
                          <a:xfrm>
                            <a:off x="0" y="0"/>
                            <a:ext cx="1828800" cy="10058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940" w:type="dxa"/>
          </w:tcPr>
          <w:p w14:paraId="157D2A82" w14:textId="77777777" w:rsidR="00BA5005" w:rsidRPr="000E00FF" w:rsidRDefault="00BA5005">
            <w:pPr>
              <w:pStyle w:val="Title"/>
              <w:rPr>
                <w:rFonts w:ascii="Arial" w:hAnsi="Arial"/>
                <w:b/>
                <w:sz w:val="24"/>
                <w:szCs w:val="24"/>
              </w:rPr>
            </w:pPr>
          </w:p>
          <w:p w14:paraId="7DD482D5" w14:textId="77777777" w:rsidR="00BA5005" w:rsidRPr="000E00FF" w:rsidRDefault="008F7ACA">
            <w:pPr>
              <w:ind w:right="-108"/>
              <w:rPr>
                <w:i/>
                <w:sz w:val="24"/>
                <w:szCs w:val="24"/>
              </w:rPr>
            </w:pPr>
            <w:r>
              <w:rPr>
                <w:noProof/>
                <w:sz w:val="24"/>
                <w:szCs w:val="24"/>
              </w:rPr>
              <mc:AlternateContent>
                <mc:Choice Requires="wps">
                  <w:drawing>
                    <wp:inline distT="0" distB="0" distL="0" distR="0" wp14:anchorId="4DA29ED9" wp14:editId="72B4D5E7">
                      <wp:extent cx="3383280" cy="784860"/>
                      <wp:effectExtent l="0" t="0" r="7620" b="0"/>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784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EC74CC" w14:textId="77777777" w:rsidR="00D53A2E" w:rsidRDefault="00D53A2E" w:rsidP="008F7ACA">
                                  <w:pPr>
                                    <w:pStyle w:val="Heading2"/>
                                    <w:jc w:val="center"/>
                                    <w:rPr>
                                      <w:rFonts w:ascii="Century Gothic" w:hAnsi="Century Gothic"/>
                                      <w:sz w:val="28"/>
                                    </w:rPr>
                                  </w:pPr>
                                  <w:r>
                                    <w:rPr>
                                      <w:rFonts w:ascii="Century Gothic" w:hAnsi="Century Gothic"/>
                                      <w:sz w:val="28"/>
                                    </w:rPr>
                                    <w:t>STATE OF WISCONSIN</w:t>
                                  </w:r>
                                </w:p>
                                <w:p w14:paraId="11498071" w14:textId="77777777" w:rsidR="00D53A2E" w:rsidRDefault="00D53A2E" w:rsidP="008F7ACA">
                                  <w:pPr>
                                    <w:jc w:val="center"/>
                                    <w:rPr>
                                      <w:rFonts w:ascii="Century Gothic" w:hAnsi="Century Gothic"/>
                                      <w:b/>
                                      <w:sz w:val="28"/>
                                    </w:rPr>
                                  </w:pPr>
                                  <w:r>
                                    <w:rPr>
                                      <w:rFonts w:ascii="Century Gothic" w:hAnsi="Century Gothic"/>
                                      <w:b/>
                                      <w:sz w:val="28"/>
                                    </w:rPr>
                                    <w:t>Department of Employee Trust Funds</w:t>
                                  </w:r>
                                </w:p>
                                <w:p w14:paraId="4BD13539" w14:textId="1C3952CD" w:rsidR="00D53A2E" w:rsidRPr="004A7A4A" w:rsidRDefault="00380B80" w:rsidP="008F7ACA">
                                  <w:pPr>
                                    <w:jc w:val="center"/>
                                    <w:rPr>
                                      <w:rFonts w:ascii="Century Gothic" w:hAnsi="Century Gothic"/>
                                      <w:b/>
                                      <w:sz w:val="18"/>
                                      <w:szCs w:val="18"/>
                                    </w:rPr>
                                  </w:pPr>
                                  <w:r>
                                    <w:rPr>
                                      <w:rFonts w:ascii="Century Gothic" w:hAnsi="Century Gothic"/>
                                      <w:b/>
                                      <w:sz w:val="18"/>
                                      <w:szCs w:val="18"/>
                                    </w:rPr>
                                    <w:t>A. John Voelker</w:t>
                                  </w:r>
                                  <w:r w:rsidR="00D53A2E" w:rsidRPr="004A7A4A">
                                    <w:rPr>
                                      <w:rFonts w:ascii="Century Gothic" w:hAnsi="Century Gothic"/>
                                      <w:b/>
                                      <w:sz w:val="18"/>
                                      <w:szCs w:val="18"/>
                                    </w:rPr>
                                    <w:t xml:space="preserve"> </w:t>
                                  </w:r>
                                </w:p>
                                <w:p w14:paraId="33F39673" w14:textId="77777777" w:rsidR="00D53A2E" w:rsidRDefault="00D53A2E" w:rsidP="008F7ACA">
                                  <w:pPr>
                                    <w:jc w:val="center"/>
                                    <w:rPr>
                                      <w:rFonts w:ascii="Century Gothic" w:hAnsi="Century Gothic"/>
                                      <w:sz w:val="16"/>
                                    </w:rPr>
                                  </w:pPr>
                                  <w:r>
                                    <w:rPr>
                                      <w:rFonts w:ascii="Century Gothic" w:hAnsi="Century Gothic"/>
                                      <w:sz w:val="16"/>
                                    </w:rPr>
                                    <w:t>SECRETARY</w:t>
                                  </w:r>
                                </w:p>
                                <w:p w14:paraId="22DF878E" w14:textId="77777777" w:rsidR="00D53A2E" w:rsidRDefault="00D53A2E" w:rsidP="008F7ACA">
                                  <w:pPr>
                                    <w:jc w:val="center"/>
                                    <w:rPr>
                                      <w:rFonts w:ascii="Century Gothic" w:hAnsi="Century Gothic"/>
                                      <w:b/>
                                      <w:sz w:val="28"/>
                                    </w:rPr>
                                  </w:pPr>
                                </w:p>
                              </w:txbxContent>
                            </wps:txbx>
                            <wps:bodyPr rot="0" vert="horz" wrap="square" lIns="91440" tIns="45720" rIns="91440" bIns="45720" anchor="t" anchorCtr="0" upright="1">
                              <a:noAutofit/>
                            </wps:bodyPr>
                          </wps:wsp>
                        </a:graphicData>
                      </a:graphic>
                    </wp:inline>
                  </w:drawing>
                </mc:Choice>
                <mc:Fallback>
                  <w:pict>
                    <v:shapetype w14:anchorId="4DA29ED9" id="_x0000_t202" coordsize="21600,21600" o:spt="202" path="m,l,21600r21600,l21600,xe">
                      <v:stroke joinstyle="miter"/>
                      <v:path gradientshapeok="t" o:connecttype="rect"/>
                    </v:shapetype>
                    <v:shape id="Text Box 7" o:spid="_x0000_s1026" type="#_x0000_t202" style="width:266.4pt;height:6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" stroked="f">
                      <v:textbox>
                        <w:txbxContent>
                          <w:p w14:paraId="33EC74CC" w14:textId="77777777" w:rsidR="00D53A2E" w:rsidRDefault="00D53A2E" w:rsidP="008F7ACA">
                            <w:pPr>
                              <w:pStyle w:val="Heading2"/>
                              <w:jc w:val="center"/>
                              <w:rPr>
                                <w:rFonts w:ascii="Century Gothic" w:hAnsi="Century Gothic"/>
                                <w:sz w:val="28"/>
                              </w:rPr>
                            </w:pPr>
                            <w:r>
                              <w:rPr>
                                <w:rFonts w:ascii="Century Gothic" w:hAnsi="Century Gothic"/>
                                <w:sz w:val="28"/>
                              </w:rPr>
                              <w:t>STATE OF WISCONSIN</w:t>
                            </w:r>
                          </w:p>
                          <w:p w14:paraId="11498071" w14:textId="77777777" w:rsidR="00D53A2E" w:rsidRDefault="00D53A2E" w:rsidP="008F7ACA">
                            <w:pPr>
                              <w:jc w:val="center"/>
                              <w:rPr>
                                <w:rFonts w:ascii="Century Gothic" w:hAnsi="Century Gothic"/>
                                <w:b/>
                                <w:sz w:val="28"/>
                              </w:rPr>
                            </w:pPr>
                            <w:r>
                              <w:rPr>
                                <w:rFonts w:ascii="Century Gothic" w:hAnsi="Century Gothic"/>
                                <w:b/>
                                <w:sz w:val="28"/>
                              </w:rPr>
                              <w:t>Department of Employee Trust Funds</w:t>
                            </w:r>
                          </w:p>
                          <w:p w14:paraId="4BD13539" w14:textId="1C3952CD" w:rsidR="00D53A2E" w:rsidRPr="004A7A4A" w:rsidRDefault="00380B80" w:rsidP="008F7ACA">
                            <w:pPr>
                              <w:jc w:val="center"/>
                              <w:rPr>
                                <w:rFonts w:ascii="Century Gothic" w:hAnsi="Century Gothic"/>
                                <w:b/>
                                <w:sz w:val="18"/>
                                <w:szCs w:val="18"/>
                              </w:rPr>
                            </w:pPr>
                            <w:r>
                              <w:rPr>
                                <w:rFonts w:ascii="Century Gothic" w:hAnsi="Century Gothic"/>
                                <w:b/>
                                <w:sz w:val="18"/>
                                <w:szCs w:val="18"/>
                              </w:rPr>
                              <w:t>A. John Voelker</w:t>
                            </w:r>
                            <w:r w:rsidR="00D53A2E" w:rsidRPr="004A7A4A">
                              <w:rPr>
                                <w:rFonts w:ascii="Century Gothic" w:hAnsi="Century Gothic"/>
                                <w:b/>
                                <w:sz w:val="18"/>
                                <w:szCs w:val="18"/>
                              </w:rPr>
                              <w:t xml:space="preserve"> </w:t>
                            </w:r>
                          </w:p>
                          <w:p w14:paraId="33F39673" w14:textId="77777777" w:rsidR="00D53A2E" w:rsidRDefault="00D53A2E" w:rsidP="008F7ACA">
                            <w:pPr>
                              <w:jc w:val="center"/>
                              <w:rPr>
                                <w:rFonts w:ascii="Century Gothic" w:hAnsi="Century Gothic"/>
                                <w:sz w:val="16"/>
                              </w:rPr>
                            </w:pPr>
                            <w:r>
                              <w:rPr>
                                <w:rFonts w:ascii="Century Gothic" w:hAnsi="Century Gothic"/>
                                <w:sz w:val="16"/>
                              </w:rPr>
                              <w:t>SECRETARY</w:t>
                            </w:r>
                          </w:p>
                          <w:p w14:paraId="22DF878E" w14:textId="77777777" w:rsidR="00D53A2E" w:rsidRDefault="00D53A2E" w:rsidP="008F7ACA">
                            <w:pPr>
                              <w:jc w:val="center"/>
                              <w:rPr>
                                <w:rFonts w:ascii="Century Gothic" w:hAnsi="Century Gothic"/>
                                <w:b/>
                                <w:sz w:val="28"/>
                              </w:rPr>
                            </w:pPr>
                          </w:p>
                        </w:txbxContent>
                      </v:textbox>
                      <w10:anchorlock/>
                    </v:shape>
                  </w:pict>
                </mc:Fallback>
              </mc:AlternateContent>
            </w:r>
          </w:p>
        </w:tc>
        <w:tc>
          <w:tcPr>
            <w:tcW w:w="2250" w:type="dxa"/>
            <w:tcBorders>
              <w:left w:val="single" w:sz="18" w:space="0" w:color="auto"/>
            </w:tcBorders>
          </w:tcPr>
          <w:p w14:paraId="5CAC1BC4" w14:textId="77777777" w:rsidR="00BA5005" w:rsidRPr="000E00FF" w:rsidRDefault="008F7ACA">
            <w:pPr>
              <w:jc w:val="right"/>
              <w:rPr>
                <w:sz w:val="24"/>
                <w:szCs w:val="24"/>
              </w:rPr>
            </w:pPr>
            <w:r>
              <w:rPr>
                <w:noProof/>
                <w:sz w:val="24"/>
                <w:szCs w:val="24"/>
              </w:rPr>
              <mc:AlternateContent>
                <mc:Choice Requires="wps">
                  <w:drawing>
                    <wp:inline distT="0" distB="0" distL="0" distR="0" wp14:anchorId="1E7EEE6A" wp14:editId="068D16C7">
                      <wp:extent cx="1371600" cy="960120"/>
                      <wp:effectExtent l="0" t="0" r="0" b="0"/>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60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F48189" w14:textId="77777777" w:rsidR="00D53A2E" w:rsidRDefault="00D53A2E" w:rsidP="008F7ACA">
                                  <w:pPr>
                                    <w:rPr>
                                      <w:rFonts w:cs="Arial"/>
                                      <w:noProof/>
                                      <w:color w:val="000000"/>
                                      <w:sz w:val="16"/>
                                      <w:szCs w:val="16"/>
                                    </w:rPr>
                                  </w:pPr>
                                  <w:r>
                                    <w:rPr>
                                      <w:rFonts w:cs="Arial"/>
                                      <w:noProof/>
                                      <w:color w:val="000000"/>
                                      <w:sz w:val="16"/>
                                      <w:szCs w:val="16"/>
                                    </w:rPr>
                                    <w:t>4822 Madison Yards Way</w:t>
                                  </w:r>
                                </w:p>
                                <w:p w14:paraId="301A1D0B" w14:textId="77777777" w:rsidR="00D53A2E" w:rsidRPr="00AB1411" w:rsidRDefault="00D53A2E" w:rsidP="00AB1411">
                                  <w:pPr>
                                    <w:spacing w:after="60"/>
                                    <w:rPr>
                                      <w:rFonts w:cs="Arial"/>
                                      <w:sz w:val="16"/>
                                      <w:szCs w:val="16"/>
                                    </w:rPr>
                                  </w:pPr>
                                  <w:r w:rsidRPr="00AB1411">
                                    <w:rPr>
                                      <w:rFonts w:cs="Arial"/>
                                      <w:noProof/>
                                      <w:color w:val="000000"/>
                                      <w:sz w:val="16"/>
                                      <w:szCs w:val="16"/>
                                    </w:rPr>
                                    <w:t>Madison, WI 53705-9100</w:t>
                                  </w:r>
                                </w:p>
                                <w:p w14:paraId="74D8F247" w14:textId="77777777" w:rsidR="00D53A2E" w:rsidRPr="00970559" w:rsidRDefault="00D53A2E" w:rsidP="008F7ACA">
                                  <w:pPr>
                                    <w:rPr>
                                      <w:rFonts w:cs="Arial"/>
                                      <w:sz w:val="16"/>
                                    </w:rPr>
                                  </w:pPr>
                                  <w:r w:rsidRPr="00970559">
                                    <w:rPr>
                                      <w:rFonts w:cs="Arial"/>
                                      <w:sz w:val="16"/>
                                    </w:rPr>
                                    <w:t>PO Box 7931</w:t>
                                  </w:r>
                                </w:p>
                                <w:p w14:paraId="41D39257" w14:textId="77777777" w:rsidR="00D53A2E" w:rsidRPr="00970559" w:rsidRDefault="00D53A2E" w:rsidP="008F7ACA">
                                  <w:pPr>
                                    <w:rPr>
                                      <w:rFonts w:cs="Arial"/>
                                      <w:sz w:val="16"/>
                                    </w:rPr>
                                  </w:pPr>
                                  <w:r w:rsidRPr="00970559">
                                    <w:rPr>
                                      <w:rFonts w:cs="Arial"/>
                                      <w:sz w:val="16"/>
                                    </w:rPr>
                                    <w:t>Madison WI  53707-7931</w:t>
                                  </w:r>
                                </w:p>
                                <w:p w14:paraId="6CA1F9E1" w14:textId="77777777" w:rsidR="00D53A2E" w:rsidRPr="00970559" w:rsidRDefault="00D53A2E" w:rsidP="008F7ACA">
                                  <w:pPr>
                                    <w:rPr>
                                      <w:rFonts w:cs="Arial"/>
                                      <w:sz w:val="16"/>
                                    </w:rPr>
                                  </w:pPr>
                                </w:p>
                                <w:p w14:paraId="1CFC2A9F" w14:textId="77777777" w:rsidR="00D53A2E" w:rsidRPr="00970559" w:rsidRDefault="00D53A2E" w:rsidP="008F7ACA">
                                  <w:pPr>
                                    <w:rPr>
                                      <w:rFonts w:cs="Arial"/>
                                      <w:sz w:val="16"/>
                                    </w:rPr>
                                  </w:pPr>
                                  <w:r w:rsidRPr="00970559">
                                    <w:rPr>
                                      <w:rFonts w:cs="Arial"/>
                                      <w:sz w:val="16"/>
                                    </w:rPr>
                                    <w:t>1-877-533-5020 (toll free)</w:t>
                                  </w:r>
                                </w:p>
                                <w:p w14:paraId="10FBCF3C" w14:textId="77777777" w:rsidR="00D53A2E" w:rsidRPr="00970559" w:rsidRDefault="00D53A2E" w:rsidP="008F7ACA">
                                  <w:pPr>
                                    <w:rPr>
                                      <w:rFonts w:cs="Arial"/>
                                      <w:sz w:val="16"/>
                                    </w:rPr>
                                  </w:pPr>
                                  <w:r w:rsidRPr="00970559">
                                    <w:rPr>
                                      <w:rFonts w:cs="Arial"/>
                                      <w:sz w:val="16"/>
                                    </w:rPr>
                                    <w:t>Fax 608-267-4549</w:t>
                                  </w:r>
                                </w:p>
                                <w:p w14:paraId="2749F07D" w14:textId="77777777" w:rsidR="00D53A2E" w:rsidRPr="00970559" w:rsidRDefault="00D53A2E" w:rsidP="008F7ACA">
                                  <w:pPr>
                                    <w:rPr>
                                      <w:rFonts w:cs="Arial"/>
                                      <w:sz w:val="16"/>
                                    </w:rPr>
                                  </w:pPr>
                                  <w:r w:rsidRPr="00970559">
                                    <w:rPr>
                                      <w:rFonts w:cs="Arial"/>
                                      <w:sz w:val="16"/>
                                    </w:rPr>
                                    <w:t>etf.wi.gov</w:t>
                                  </w:r>
                                </w:p>
                              </w:txbxContent>
                            </wps:txbx>
                            <wps:bodyPr rot="0" vert="horz" wrap="square" lIns="91440" tIns="45720" rIns="91440" bIns="45720" anchor="t" anchorCtr="0" upright="1">
                              <a:noAutofit/>
                            </wps:bodyPr>
                          </wps:wsp>
                        </a:graphicData>
                      </a:graphic>
                    </wp:inline>
                  </w:drawing>
                </mc:Choice>
                <mc:Fallback>
                  <w:pict>
                    <v:shape w14:anchorId="1E7EEE6A" id="Text Box 6" o:spid="_x0000_s1027" type="#_x0000_t202" style="width:108pt;height:7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" stroked="f">
                      <v:textbox>
                        <w:txbxContent>
                          <w:p w14:paraId="25F48189" w14:textId="77777777" w:rsidR="00D53A2E" w:rsidRDefault="00D53A2E" w:rsidP="008F7ACA">
                            <w:pPr>
                              <w:rPr>
                                <w:rFonts w:cs="Arial"/>
                                <w:noProof/>
                                <w:color w:val="000000"/>
                                <w:sz w:val="16"/>
                                <w:szCs w:val="16"/>
                              </w:rPr>
                            </w:pPr>
                            <w:r>
                              <w:rPr>
                                <w:rFonts w:cs="Arial"/>
                                <w:noProof/>
                                <w:color w:val="000000"/>
                                <w:sz w:val="16"/>
                                <w:szCs w:val="16"/>
                              </w:rPr>
                              <w:t>4822 Madison Yards Way</w:t>
                            </w:r>
                          </w:p>
                          <w:p w14:paraId="301A1D0B" w14:textId="77777777" w:rsidR="00D53A2E" w:rsidRPr="00AB1411" w:rsidRDefault="00D53A2E" w:rsidP="00AB1411">
                            <w:pPr>
                              <w:spacing w:after="60"/>
                              <w:rPr>
                                <w:rFonts w:cs="Arial"/>
                                <w:sz w:val="16"/>
                                <w:szCs w:val="16"/>
                              </w:rPr>
                            </w:pPr>
                            <w:r w:rsidRPr="00AB1411">
                              <w:rPr>
                                <w:rFonts w:cs="Arial"/>
                                <w:noProof/>
                                <w:color w:val="000000"/>
                                <w:sz w:val="16"/>
                                <w:szCs w:val="16"/>
                              </w:rPr>
                              <w:t>Madison, WI 53705-9100</w:t>
                            </w:r>
                          </w:p>
                          <w:p w14:paraId="74D8F247" w14:textId="77777777" w:rsidR="00D53A2E" w:rsidRPr="00970559" w:rsidRDefault="00D53A2E" w:rsidP="008F7ACA">
                            <w:pPr>
                              <w:rPr>
                                <w:rFonts w:cs="Arial"/>
                                <w:sz w:val="16"/>
                              </w:rPr>
                            </w:pPr>
                            <w:r w:rsidRPr="00970559">
                              <w:rPr>
                                <w:rFonts w:cs="Arial"/>
                                <w:sz w:val="16"/>
                              </w:rPr>
                              <w:t>PO Box 7931</w:t>
                            </w:r>
                          </w:p>
                          <w:p w14:paraId="41D39257" w14:textId="77777777" w:rsidR="00D53A2E" w:rsidRPr="00970559" w:rsidRDefault="00D53A2E" w:rsidP="008F7ACA">
                            <w:pPr>
                              <w:rPr>
                                <w:rFonts w:cs="Arial"/>
                                <w:sz w:val="16"/>
                              </w:rPr>
                            </w:pPr>
                            <w:r w:rsidRPr="00970559">
                              <w:rPr>
                                <w:rFonts w:cs="Arial"/>
                                <w:sz w:val="16"/>
                              </w:rPr>
                              <w:t>Madison WI  53707-7931</w:t>
                            </w:r>
                          </w:p>
                          <w:p w14:paraId="6CA1F9E1" w14:textId="77777777" w:rsidR="00D53A2E" w:rsidRPr="00970559" w:rsidRDefault="00D53A2E" w:rsidP="008F7ACA">
                            <w:pPr>
                              <w:rPr>
                                <w:rFonts w:cs="Arial"/>
                                <w:sz w:val="16"/>
                              </w:rPr>
                            </w:pPr>
                          </w:p>
                          <w:p w14:paraId="1CFC2A9F" w14:textId="77777777" w:rsidR="00D53A2E" w:rsidRPr="00970559" w:rsidRDefault="00D53A2E" w:rsidP="008F7ACA">
                            <w:pPr>
                              <w:rPr>
                                <w:rFonts w:cs="Arial"/>
                                <w:sz w:val="16"/>
                              </w:rPr>
                            </w:pPr>
                            <w:r w:rsidRPr="00970559">
                              <w:rPr>
                                <w:rFonts w:cs="Arial"/>
                                <w:sz w:val="16"/>
                              </w:rPr>
                              <w:t>1-877-533-5020 (toll free)</w:t>
                            </w:r>
                          </w:p>
                          <w:p w14:paraId="10FBCF3C" w14:textId="77777777" w:rsidR="00D53A2E" w:rsidRPr="00970559" w:rsidRDefault="00D53A2E" w:rsidP="008F7ACA">
                            <w:pPr>
                              <w:rPr>
                                <w:rFonts w:cs="Arial"/>
                                <w:sz w:val="16"/>
                              </w:rPr>
                            </w:pPr>
                            <w:r w:rsidRPr="00970559">
                              <w:rPr>
                                <w:rFonts w:cs="Arial"/>
                                <w:sz w:val="16"/>
                              </w:rPr>
                              <w:t>Fax 608-267-4549</w:t>
                            </w:r>
                          </w:p>
                          <w:p w14:paraId="2749F07D" w14:textId="77777777" w:rsidR="00D53A2E" w:rsidRPr="00970559" w:rsidRDefault="00D53A2E" w:rsidP="008F7ACA">
                            <w:pPr>
                              <w:rPr>
                                <w:rFonts w:cs="Arial"/>
                                <w:sz w:val="16"/>
                              </w:rPr>
                            </w:pPr>
                            <w:r w:rsidRPr="00970559">
                              <w:rPr>
                                <w:rFonts w:cs="Arial"/>
                                <w:sz w:val="16"/>
                              </w:rPr>
                              <w:t>etf.wi.gov</w:t>
                            </w:r>
                          </w:p>
                        </w:txbxContent>
                      </v:textbox>
                      <w10:anchorlock/>
                    </v:shape>
                  </w:pict>
                </mc:Fallback>
              </mc:AlternateContent>
            </w:r>
          </w:p>
        </w:tc>
      </w:tr>
    </w:tbl>
    <w:p w14:paraId="35DFE030" w14:textId="77777777" w:rsidR="0063482F" w:rsidRPr="00C51DFC" w:rsidRDefault="0063482F">
      <w:pPr>
        <w:rPr>
          <w:szCs w:val="22"/>
        </w:rPr>
      </w:pPr>
    </w:p>
    <w:p w14:paraId="68A854F2" w14:textId="77777777" w:rsidR="0020636C" w:rsidRPr="00DC40B6" w:rsidRDefault="0020636C">
      <w:pPr>
        <w:rPr>
          <w:szCs w:val="22"/>
        </w:rPr>
      </w:pPr>
    </w:p>
    <w:p w14:paraId="1CCFBB02" w14:textId="068E75B5" w:rsidR="004970AF" w:rsidRPr="00FF3166" w:rsidRDefault="00B42919" w:rsidP="004970AF">
      <w:pPr>
        <w:rPr>
          <w:rFonts w:cs="Arial"/>
          <w:szCs w:val="22"/>
        </w:rPr>
      </w:pPr>
      <w:r w:rsidRPr="00FF3166">
        <w:rPr>
          <w:rFonts w:cs="Arial"/>
          <w:szCs w:val="22"/>
        </w:rPr>
        <w:t xml:space="preserve">October </w:t>
      </w:r>
      <w:r w:rsidR="00FE7034">
        <w:rPr>
          <w:rFonts w:cs="Arial"/>
          <w:szCs w:val="22"/>
        </w:rPr>
        <w:t>9</w:t>
      </w:r>
      <w:r w:rsidR="00862E84" w:rsidRPr="00FF3166">
        <w:rPr>
          <w:rFonts w:cs="Arial"/>
          <w:szCs w:val="22"/>
        </w:rPr>
        <w:t>, 20</w:t>
      </w:r>
      <w:r w:rsidRPr="00FF3166">
        <w:rPr>
          <w:rFonts w:cs="Arial"/>
          <w:szCs w:val="22"/>
        </w:rPr>
        <w:t>24</w:t>
      </w:r>
    </w:p>
    <w:p w14:paraId="3758FA43" w14:textId="77777777" w:rsidR="000F39D6" w:rsidRPr="00FF3166" w:rsidRDefault="000F39D6" w:rsidP="0042654B">
      <w:pPr>
        <w:rPr>
          <w:rFonts w:cs="Arial"/>
          <w:bCs/>
          <w:szCs w:val="22"/>
        </w:rPr>
      </w:pPr>
    </w:p>
    <w:p w14:paraId="0B1C9826" w14:textId="71D108DB" w:rsidR="0042654B" w:rsidRPr="00FF3166" w:rsidRDefault="00B42919" w:rsidP="0042654B">
      <w:pPr>
        <w:rPr>
          <w:rFonts w:cs="Arial"/>
          <w:bCs/>
          <w:szCs w:val="22"/>
        </w:rPr>
      </w:pPr>
      <w:r w:rsidRPr="00FF3166">
        <w:rPr>
          <w:rFonts w:cs="Arial"/>
          <w:bCs/>
          <w:szCs w:val="22"/>
        </w:rPr>
        <w:t>Linea Solutions, Inc.</w:t>
      </w:r>
    </w:p>
    <w:p w14:paraId="6DE55DC8" w14:textId="336F83F7" w:rsidR="00B42919" w:rsidRPr="00FF3166" w:rsidRDefault="00B42919" w:rsidP="0042654B">
      <w:pPr>
        <w:rPr>
          <w:rFonts w:cs="Arial"/>
          <w:bCs/>
          <w:szCs w:val="22"/>
        </w:rPr>
      </w:pPr>
      <w:r w:rsidRPr="00FF3166">
        <w:rPr>
          <w:rFonts w:cs="Arial"/>
          <w:bCs/>
          <w:szCs w:val="22"/>
        </w:rPr>
        <w:t>4551 Glencoe Avenue, Ste. 140</w:t>
      </w:r>
    </w:p>
    <w:p w14:paraId="56613610" w14:textId="6ACE4959" w:rsidR="00B42919" w:rsidRPr="00FF3166" w:rsidRDefault="00B42919" w:rsidP="00FF3166">
      <w:pPr>
        <w:tabs>
          <w:tab w:val="left" w:pos="540"/>
        </w:tabs>
        <w:rPr>
          <w:rFonts w:cs="Arial"/>
          <w:szCs w:val="22"/>
        </w:rPr>
      </w:pPr>
      <w:r w:rsidRPr="00FF3166">
        <w:rPr>
          <w:rFonts w:cs="Arial"/>
          <w:bCs/>
          <w:szCs w:val="22"/>
        </w:rPr>
        <w:t>Marina del Rey, CA  90292</w:t>
      </w:r>
    </w:p>
    <w:p w14:paraId="783CA732" w14:textId="56B5C588" w:rsidR="00FF3166" w:rsidRPr="00FF3166" w:rsidRDefault="00FF3166" w:rsidP="00FF3166">
      <w:pPr>
        <w:tabs>
          <w:tab w:val="left" w:pos="540"/>
        </w:tabs>
        <w:ind w:left="540" w:hanging="540"/>
        <w:rPr>
          <w:rFonts w:cs="Arial"/>
          <w:bCs/>
          <w:szCs w:val="22"/>
        </w:rPr>
      </w:pPr>
      <w:r>
        <w:rPr>
          <w:rFonts w:cs="Arial"/>
          <w:szCs w:val="22"/>
        </w:rPr>
        <w:t xml:space="preserve">Attn: </w:t>
      </w:r>
      <w:r>
        <w:rPr>
          <w:rFonts w:cs="Arial"/>
          <w:szCs w:val="22"/>
        </w:rPr>
        <w:tab/>
      </w:r>
      <w:r w:rsidRPr="00FF3166">
        <w:rPr>
          <w:rFonts w:cs="Arial"/>
          <w:bCs/>
          <w:szCs w:val="22"/>
        </w:rPr>
        <w:t>Bradford Hodgson</w:t>
      </w:r>
      <w:r>
        <w:rPr>
          <w:rFonts w:cs="Arial"/>
          <w:bCs/>
          <w:szCs w:val="22"/>
        </w:rPr>
        <w:t xml:space="preserve">, </w:t>
      </w:r>
      <w:r w:rsidRPr="00FF3166">
        <w:rPr>
          <w:rFonts w:cs="Arial"/>
          <w:bCs/>
          <w:szCs w:val="22"/>
        </w:rPr>
        <w:t>Director of Proposals</w:t>
      </w:r>
    </w:p>
    <w:p w14:paraId="4389D423" w14:textId="1667CB80" w:rsidR="00FF3166" w:rsidRPr="00FF3166" w:rsidRDefault="00FF3166" w:rsidP="00FF3166">
      <w:pPr>
        <w:tabs>
          <w:tab w:val="left" w:pos="540"/>
        </w:tabs>
        <w:rPr>
          <w:rFonts w:cs="Arial"/>
          <w:szCs w:val="22"/>
        </w:rPr>
      </w:pPr>
      <w:r>
        <w:rPr>
          <w:rFonts w:cs="Arial"/>
          <w:szCs w:val="22"/>
        </w:rPr>
        <w:tab/>
      </w:r>
      <w:r w:rsidRPr="00FF3166">
        <w:rPr>
          <w:rFonts w:cs="Arial"/>
          <w:szCs w:val="22"/>
        </w:rPr>
        <w:t>Peter Dewar</w:t>
      </w:r>
      <w:r>
        <w:rPr>
          <w:rFonts w:cs="Arial"/>
          <w:szCs w:val="22"/>
        </w:rPr>
        <w:t xml:space="preserve">, </w:t>
      </w:r>
      <w:r w:rsidRPr="00FF3166">
        <w:rPr>
          <w:rFonts w:cs="Arial"/>
          <w:szCs w:val="22"/>
        </w:rPr>
        <w:t>President</w:t>
      </w:r>
    </w:p>
    <w:p w14:paraId="161158FA" w14:textId="26F69FDB" w:rsidR="00FF3166" w:rsidRPr="00FF3166" w:rsidRDefault="00FF3166" w:rsidP="00FF3166">
      <w:pPr>
        <w:tabs>
          <w:tab w:val="left" w:pos="540"/>
        </w:tabs>
        <w:rPr>
          <w:rFonts w:cs="Arial"/>
          <w:bCs/>
          <w:szCs w:val="22"/>
        </w:rPr>
      </w:pPr>
      <w:r>
        <w:rPr>
          <w:rFonts w:cs="Arial"/>
          <w:bCs/>
          <w:szCs w:val="22"/>
        </w:rPr>
        <w:tab/>
      </w:r>
      <w:r w:rsidRPr="00FF3166">
        <w:rPr>
          <w:rFonts w:cs="Arial"/>
          <w:bCs/>
          <w:szCs w:val="22"/>
        </w:rPr>
        <w:t>Akio Tagawa</w:t>
      </w:r>
      <w:r>
        <w:rPr>
          <w:rFonts w:cs="Arial"/>
          <w:bCs/>
          <w:szCs w:val="22"/>
        </w:rPr>
        <w:t xml:space="preserve">, </w:t>
      </w:r>
      <w:r w:rsidRPr="00FF3166">
        <w:rPr>
          <w:rFonts w:cs="Arial"/>
          <w:bCs/>
          <w:szCs w:val="22"/>
        </w:rPr>
        <w:t>President &amp; CEO</w:t>
      </w:r>
    </w:p>
    <w:p w14:paraId="6FB4AC06" w14:textId="77777777" w:rsidR="00FF3166" w:rsidRDefault="00FF3166" w:rsidP="00556511">
      <w:pPr>
        <w:rPr>
          <w:rFonts w:cs="Arial"/>
          <w:szCs w:val="22"/>
        </w:rPr>
      </w:pPr>
    </w:p>
    <w:p w14:paraId="78EE1420" w14:textId="492EB0CF" w:rsidR="00842FCD" w:rsidRPr="00FF3166" w:rsidRDefault="00052428" w:rsidP="00556511">
      <w:pPr>
        <w:rPr>
          <w:rFonts w:cs="Arial"/>
          <w:szCs w:val="22"/>
        </w:rPr>
      </w:pPr>
      <w:r w:rsidRPr="00FF3166">
        <w:rPr>
          <w:rFonts w:cs="Arial"/>
          <w:szCs w:val="22"/>
        </w:rPr>
        <w:t>Sent via email to:</w:t>
      </w:r>
      <w:r w:rsidR="00B07400">
        <w:rPr>
          <w:rFonts w:cs="Arial"/>
          <w:szCs w:val="22"/>
        </w:rPr>
        <w:t xml:space="preserve"> </w:t>
      </w:r>
      <w:r w:rsidR="009A02F5" w:rsidRPr="00FF3166">
        <w:rPr>
          <w:rFonts w:cs="Arial"/>
          <w:szCs w:val="22"/>
        </w:rPr>
        <w:t xml:space="preserve"> </w:t>
      </w:r>
      <w:hyperlink r:id="rId8" w:history="1">
        <w:r w:rsidR="00B42919" w:rsidRPr="00FF3166">
          <w:rPr>
            <w:rStyle w:val="Hyperlink"/>
            <w:rFonts w:cs="Arial"/>
            <w:szCs w:val="22"/>
          </w:rPr>
          <w:t>bhodgson@lineasolutions.com</w:t>
        </w:r>
      </w:hyperlink>
      <w:r w:rsidR="000F39D6" w:rsidRPr="00FF3166">
        <w:rPr>
          <w:rFonts w:cs="Arial"/>
          <w:szCs w:val="22"/>
        </w:rPr>
        <w:t xml:space="preserve">; </w:t>
      </w:r>
      <w:hyperlink r:id="rId9" w:history="1">
        <w:r w:rsidR="000F39D6" w:rsidRPr="00FF3166">
          <w:rPr>
            <w:rStyle w:val="Hyperlink"/>
            <w:rFonts w:cs="Arial"/>
            <w:szCs w:val="22"/>
          </w:rPr>
          <w:t>pdewar@lineasolutions.com</w:t>
        </w:r>
      </w:hyperlink>
      <w:r w:rsidR="000F39D6" w:rsidRPr="00FF3166">
        <w:rPr>
          <w:rFonts w:cs="Arial"/>
          <w:szCs w:val="22"/>
        </w:rPr>
        <w:t xml:space="preserve">; </w:t>
      </w:r>
      <w:hyperlink r:id="rId10" w:history="1">
        <w:r w:rsidR="000F39D6" w:rsidRPr="00FF3166">
          <w:rPr>
            <w:rStyle w:val="Hyperlink"/>
            <w:rFonts w:cs="Arial"/>
            <w:szCs w:val="22"/>
          </w:rPr>
          <w:t>atagawa@lineasolutions.com</w:t>
        </w:r>
      </w:hyperlink>
      <w:r w:rsidR="000F39D6" w:rsidRPr="00FF3166">
        <w:rPr>
          <w:rFonts w:cs="Arial"/>
          <w:szCs w:val="22"/>
        </w:rPr>
        <w:t xml:space="preserve"> </w:t>
      </w:r>
    </w:p>
    <w:p w14:paraId="4D3EAC08" w14:textId="77777777" w:rsidR="00B42919" w:rsidRPr="00FF3166" w:rsidRDefault="00B42919" w:rsidP="00556511">
      <w:pPr>
        <w:rPr>
          <w:rFonts w:cs="Arial"/>
          <w:szCs w:val="22"/>
        </w:rPr>
      </w:pPr>
    </w:p>
    <w:p w14:paraId="60870111" w14:textId="6583559B" w:rsidR="004E32D9" w:rsidRPr="00FF3166" w:rsidRDefault="009C46C6" w:rsidP="009C46C6">
      <w:pPr>
        <w:tabs>
          <w:tab w:val="left" w:pos="900"/>
        </w:tabs>
        <w:ind w:left="900" w:hanging="900"/>
        <w:rPr>
          <w:rFonts w:cs="Arial"/>
          <w:szCs w:val="22"/>
        </w:rPr>
      </w:pPr>
      <w:r w:rsidRPr="00FF3166">
        <w:rPr>
          <w:rFonts w:cs="Arial"/>
          <w:szCs w:val="22"/>
        </w:rPr>
        <w:t>Subject</w:t>
      </w:r>
      <w:r w:rsidR="004970AF" w:rsidRPr="00FF3166">
        <w:rPr>
          <w:rFonts w:cs="Arial"/>
          <w:szCs w:val="22"/>
        </w:rPr>
        <w:t>:</w:t>
      </w:r>
      <w:r w:rsidR="00C75E14" w:rsidRPr="00FF3166">
        <w:rPr>
          <w:rFonts w:cs="Arial"/>
          <w:szCs w:val="22"/>
        </w:rPr>
        <w:tab/>
      </w:r>
      <w:r w:rsidR="0091635D" w:rsidRPr="00FF3166">
        <w:rPr>
          <w:rFonts w:cs="Arial"/>
          <w:szCs w:val="22"/>
        </w:rPr>
        <w:t xml:space="preserve">Notice of </w:t>
      </w:r>
      <w:r w:rsidR="00C7624B" w:rsidRPr="00FF3166">
        <w:rPr>
          <w:rFonts w:cs="Arial"/>
          <w:szCs w:val="22"/>
        </w:rPr>
        <w:t>Intent to Award</w:t>
      </w:r>
      <w:r w:rsidR="00B42919" w:rsidRPr="00FF3166">
        <w:rPr>
          <w:rFonts w:cs="Arial"/>
          <w:szCs w:val="22"/>
        </w:rPr>
        <w:t xml:space="preserve"> a Contract; ETF</w:t>
      </w:r>
      <w:r w:rsidR="00C7624B" w:rsidRPr="00FF3166">
        <w:rPr>
          <w:rFonts w:cs="Arial"/>
          <w:szCs w:val="22"/>
        </w:rPr>
        <w:t xml:space="preserve"> </w:t>
      </w:r>
      <w:r w:rsidR="00842FCD" w:rsidRPr="00FF3166">
        <w:rPr>
          <w:rFonts w:cs="Arial"/>
          <w:szCs w:val="22"/>
        </w:rPr>
        <w:t>RFP</w:t>
      </w:r>
      <w:r w:rsidR="009E43DD" w:rsidRPr="00FF3166">
        <w:rPr>
          <w:rFonts w:cs="Arial"/>
          <w:szCs w:val="22"/>
        </w:rPr>
        <w:t xml:space="preserve"> ET</w:t>
      </w:r>
      <w:r w:rsidR="00B42919" w:rsidRPr="00FF3166">
        <w:rPr>
          <w:rFonts w:cs="Arial"/>
          <w:szCs w:val="22"/>
        </w:rPr>
        <w:t>D0060</w:t>
      </w:r>
      <w:r w:rsidR="009E43DD" w:rsidRPr="00FF3166">
        <w:rPr>
          <w:rFonts w:cs="Arial"/>
          <w:szCs w:val="22"/>
        </w:rPr>
        <w:t xml:space="preserve"> for IT Audits and Consulting  </w:t>
      </w:r>
    </w:p>
    <w:p w14:paraId="3640C351" w14:textId="77777777" w:rsidR="00EE31A2" w:rsidRPr="00FF3166" w:rsidRDefault="00EE31A2" w:rsidP="00444533">
      <w:pPr>
        <w:rPr>
          <w:rFonts w:cs="Arial"/>
          <w:szCs w:val="22"/>
        </w:rPr>
      </w:pPr>
    </w:p>
    <w:p w14:paraId="6D91C19B" w14:textId="77777777" w:rsidR="00444533" w:rsidRPr="00FF3166" w:rsidRDefault="00444533" w:rsidP="00444533">
      <w:pPr>
        <w:rPr>
          <w:rFonts w:cs="Arial"/>
          <w:szCs w:val="22"/>
        </w:rPr>
      </w:pPr>
    </w:p>
    <w:p w14:paraId="0BBD4695" w14:textId="34BA6E2E" w:rsidR="002725E3" w:rsidRDefault="00B42919" w:rsidP="0030547F">
      <w:pPr>
        <w:rPr>
          <w:rFonts w:cs="Arial"/>
          <w:szCs w:val="22"/>
        </w:rPr>
      </w:pPr>
      <w:r w:rsidRPr="00FF3166">
        <w:rPr>
          <w:rFonts w:cs="Arial"/>
          <w:szCs w:val="22"/>
        </w:rPr>
        <w:t>Linea</w:t>
      </w:r>
      <w:r w:rsidR="009E43DD" w:rsidRPr="00FF3166">
        <w:rPr>
          <w:rFonts w:cs="Arial"/>
          <w:szCs w:val="22"/>
        </w:rPr>
        <w:t>:</w:t>
      </w:r>
    </w:p>
    <w:p w14:paraId="36B7FA10" w14:textId="77777777" w:rsidR="00FF3166" w:rsidRPr="00FF3166" w:rsidRDefault="00FF3166" w:rsidP="0030547F">
      <w:pPr>
        <w:rPr>
          <w:rFonts w:cs="Arial"/>
          <w:szCs w:val="22"/>
        </w:rPr>
      </w:pPr>
    </w:p>
    <w:p w14:paraId="77496B90" w14:textId="0D18014C" w:rsidR="00EE31A2" w:rsidRPr="00FF3166" w:rsidRDefault="009E43DD" w:rsidP="0030547F">
      <w:pPr>
        <w:pStyle w:val="NormalWeb"/>
        <w:spacing w:before="0" w:beforeAutospacing="0" w:after="0" w:afterAutospacing="0"/>
        <w:rPr>
          <w:rFonts w:ascii="Arial" w:hAnsi="Arial" w:cs="Arial"/>
          <w:sz w:val="22"/>
          <w:szCs w:val="22"/>
        </w:rPr>
      </w:pPr>
      <w:r w:rsidRPr="00FF3166">
        <w:rPr>
          <w:rFonts w:ascii="Arial" w:hAnsi="Arial" w:cs="Arial"/>
          <w:sz w:val="22"/>
          <w:szCs w:val="22"/>
        </w:rPr>
        <w:t>T</w:t>
      </w:r>
      <w:r w:rsidR="002725E3" w:rsidRPr="00FF3166">
        <w:rPr>
          <w:rFonts w:ascii="Arial" w:hAnsi="Arial" w:cs="Arial"/>
          <w:sz w:val="22"/>
          <w:szCs w:val="22"/>
        </w:rPr>
        <w:t xml:space="preserve">he </w:t>
      </w:r>
      <w:r w:rsidR="009324DC" w:rsidRPr="00FF3166">
        <w:rPr>
          <w:rFonts w:ascii="Arial" w:hAnsi="Arial" w:cs="Arial"/>
          <w:sz w:val="22"/>
          <w:szCs w:val="22"/>
        </w:rPr>
        <w:t xml:space="preserve">Director of </w:t>
      </w:r>
      <w:r w:rsidR="006C0C6D" w:rsidRPr="00FF3166">
        <w:rPr>
          <w:rFonts w:ascii="Arial" w:hAnsi="Arial" w:cs="Arial"/>
          <w:sz w:val="22"/>
          <w:szCs w:val="22"/>
        </w:rPr>
        <w:t>the Wisconsin Department of Employee Trust Fund’s</w:t>
      </w:r>
      <w:r w:rsidR="009324DC" w:rsidRPr="00FF3166">
        <w:rPr>
          <w:rFonts w:ascii="Arial" w:hAnsi="Arial" w:cs="Arial"/>
          <w:sz w:val="22"/>
          <w:szCs w:val="22"/>
        </w:rPr>
        <w:t xml:space="preserve"> </w:t>
      </w:r>
      <w:r w:rsidR="006C0C6D" w:rsidRPr="00FF3166">
        <w:rPr>
          <w:rFonts w:ascii="Arial" w:hAnsi="Arial" w:cs="Arial"/>
          <w:sz w:val="22"/>
          <w:szCs w:val="22"/>
        </w:rPr>
        <w:t xml:space="preserve">(ETF) </w:t>
      </w:r>
      <w:r w:rsidR="009324DC" w:rsidRPr="00FF3166">
        <w:rPr>
          <w:rFonts w:ascii="Arial" w:hAnsi="Arial" w:cs="Arial"/>
          <w:sz w:val="22"/>
          <w:szCs w:val="22"/>
        </w:rPr>
        <w:t>Office of Internal Audit, with the authority of the Employee Trust Funds Board, has</w:t>
      </w:r>
      <w:r w:rsidR="002725E3" w:rsidRPr="00FF3166">
        <w:rPr>
          <w:rFonts w:ascii="Arial" w:hAnsi="Arial" w:cs="Arial"/>
          <w:sz w:val="22"/>
          <w:szCs w:val="22"/>
        </w:rPr>
        <w:t xml:space="preserve"> issue</w:t>
      </w:r>
      <w:r w:rsidR="009324DC" w:rsidRPr="00FF3166">
        <w:rPr>
          <w:rFonts w:ascii="Arial" w:hAnsi="Arial" w:cs="Arial"/>
          <w:sz w:val="22"/>
          <w:szCs w:val="22"/>
        </w:rPr>
        <w:t>d this</w:t>
      </w:r>
      <w:r w:rsidR="002725E3" w:rsidRPr="00FF3166">
        <w:rPr>
          <w:rFonts w:ascii="Arial" w:hAnsi="Arial" w:cs="Arial"/>
          <w:sz w:val="22"/>
          <w:szCs w:val="22"/>
        </w:rPr>
        <w:t xml:space="preserve"> intent to award the contract</w:t>
      </w:r>
      <w:r w:rsidR="009324DC" w:rsidRPr="00FF3166">
        <w:rPr>
          <w:rFonts w:ascii="Arial" w:hAnsi="Arial" w:cs="Arial"/>
          <w:sz w:val="22"/>
          <w:szCs w:val="22"/>
        </w:rPr>
        <w:t xml:space="preserve"> for Information Technology Audits</w:t>
      </w:r>
      <w:r w:rsidR="002725E3" w:rsidRPr="00FF3166">
        <w:rPr>
          <w:rFonts w:ascii="Arial" w:hAnsi="Arial" w:cs="Arial"/>
          <w:sz w:val="22"/>
          <w:szCs w:val="22"/>
        </w:rPr>
        <w:t xml:space="preserve"> </w:t>
      </w:r>
      <w:r w:rsidR="009324DC" w:rsidRPr="00FF3166">
        <w:rPr>
          <w:rFonts w:ascii="Arial" w:hAnsi="Arial" w:cs="Arial"/>
          <w:sz w:val="22"/>
          <w:szCs w:val="22"/>
        </w:rPr>
        <w:t xml:space="preserve">and Consulting </w:t>
      </w:r>
      <w:r w:rsidR="004E32D9" w:rsidRPr="00FF3166">
        <w:rPr>
          <w:rFonts w:ascii="Arial" w:hAnsi="Arial" w:cs="Arial"/>
          <w:sz w:val="22"/>
          <w:szCs w:val="22"/>
        </w:rPr>
        <w:t>(</w:t>
      </w:r>
      <w:r w:rsidR="00DC40B6" w:rsidRPr="00FF3166">
        <w:rPr>
          <w:rFonts w:ascii="Arial" w:hAnsi="Arial" w:cs="Arial"/>
          <w:sz w:val="22"/>
          <w:szCs w:val="22"/>
        </w:rPr>
        <w:t>RFP</w:t>
      </w:r>
      <w:r w:rsidR="0042654B" w:rsidRPr="00FF3166">
        <w:rPr>
          <w:rFonts w:ascii="Arial" w:hAnsi="Arial" w:cs="Arial"/>
          <w:sz w:val="22"/>
          <w:szCs w:val="22"/>
        </w:rPr>
        <w:t xml:space="preserve"> ET</w:t>
      </w:r>
      <w:r w:rsidR="000F39D6" w:rsidRPr="00FF3166">
        <w:rPr>
          <w:rFonts w:ascii="Arial" w:hAnsi="Arial" w:cs="Arial"/>
          <w:sz w:val="22"/>
          <w:szCs w:val="22"/>
        </w:rPr>
        <w:t>D0060</w:t>
      </w:r>
      <w:r w:rsidR="0042654B" w:rsidRPr="00FF3166">
        <w:rPr>
          <w:rFonts w:ascii="Arial" w:hAnsi="Arial" w:cs="Arial"/>
          <w:sz w:val="22"/>
          <w:szCs w:val="22"/>
        </w:rPr>
        <w:t>)</w:t>
      </w:r>
      <w:r w:rsidR="004D71A2" w:rsidRPr="00FF3166">
        <w:rPr>
          <w:rFonts w:ascii="Arial" w:hAnsi="Arial" w:cs="Arial"/>
          <w:sz w:val="22"/>
          <w:szCs w:val="22"/>
        </w:rPr>
        <w:t xml:space="preserve"> </w:t>
      </w:r>
      <w:r w:rsidR="002725E3" w:rsidRPr="00FF3166">
        <w:rPr>
          <w:rFonts w:ascii="Arial" w:hAnsi="Arial" w:cs="Arial"/>
          <w:sz w:val="22"/>
          <w:szCs w:val="22"/>
        </w:rPr>
        <w:t xml:space="preserve">to </w:t>
      </w:r>
      <w:r w:rsidR="000F39D6" w:rsidRPr="00FF3166">
        <w:rPr>
          <w:rFonts w:ascii="Arial" w:hAnsi="Arial" w:cs="Arial"/>
          <w:sz w:val="22"/>
          <w:szCs w:val="22"/>
        </w:rPr>
        <w:t>Linea Solutions, Inc.</w:t>
      </w:r>
      <w:r w:rsidR="00B07400">
        <w:rPr>
          <w:rFonts w:ascii="Arial" w:hAnsi="Arial" w:cs="Arial"/>
          <w:sz w:val="22"/>
          <w:szCs w:val="22"/>
        </w:rPr>
        <w:t xml:space="preserve"> The contract would commence</w:t>
      </w:r>
      <w:r w:rsidR="000F39D6" w:rsidRPr="00FF3166">
        <w:rPr>
          <w:rFonts w:ascii="Arial" w:hAnsi="Arial" w:cs="Arial"/>
          <w:bCs/>
          <w:sz w:val="22"/>
          <w:szCs w:val="22"/>
        </w:rPr>
        <w:t xml:space="preserve"> on the date the contract is fully executed</w:t>
      </w:r>
      <w:r w:rsidR="008306D2" w:rsidRPr="00FF3166">
        <w:rPr>
          <w:rFonts w:ascii="Arial" w:hAnsi="Arial" w:cs="Arial"/>
          <w:bCs/>
          <w:sz w:val="22"/>
          <w:szCs w:val="22"/>
        </w:rPr>
        <w:t xml:space="preserve"> </w:t>
      </w:r>
      <w:r w:rsidR="00B07400">
        <w:rPr>
          <w:rFonts w:ascii="Arial" w:hAnsi="Arial" w:cs="Arial"/>
          <w:bCs/>
          <w:sz w:val="22"/>
          <w:szCs w:val="22"/>
        </w:rPr>
        <w:t xml:space="preserve">and extend </w:t>
      </w:r>
      <w:r w:rsidR="008306D2" w:rsidRPr="00FF3166">
        <w:rPr>
          <w:rFonts w:ascii="Arial" w:hAnsi="Arial" w:cs="Arial"/>
          <w:bCs/>
          <w:sz w:val="22"/>
          <w:szCs w:val="22"/>
        </w:rPr>
        <w:t xml:space="preserve">through </w:t>
      </w:r>
      <w:r w:rsidR="0042654B" w:rsidRPr="00FF3166">
        <w:rPr>
          <w:rFonts w:ascii="Arial" w:hAnsi="Arial" w:cs="Arial"/>
          <w:bCs/>
          <w:sz w:val="22"/>
          <w:szCs w:val="22"/>
        </w:rPr>
        <w:t>June 30, 202</w:t>
      </w:r>
      <w:r w:rsidR="000F39D6" w:rsidRPr="00FF3166">
        <w:rPr>
          <w:rFonts w:ascii="Arial" w:hAnsi="Arial" w:cs="Arial"/>
          <w:bCs/>
          <w:sz w:val="22"/>
          <w:szCs w:val="22"/>
        </w:rPr>
        <w:t>6</w:t>
      </w:r>
      <w:r w:rsidR="008306D2" w:rsidRPr="00FF3166">
        <w:rPr>
          <w:rFonts w:ascii="Arial" w:hAnsi="Arial" w:cs="Arial"/>
          <w:bCs/>
          <w:sz w:val="22"/>
          <w:szCs w:val="22"/>
        </w:rPr>
        <w:t xml:space="preserve">, with the potential for </w:t>
      </w:r>
      <w:r w:rsidR="0042654B" w:rsidRPr="00FF3166">
        <w:rPr>
          <w:rFonts w:ascii="Arial" w:hAnsi="Arial" w:cs="Arial"/>
          <w:bCs/>
          <w:sz w:val="22"/>
          <w:szCs w:val="22"/>
        </w:rPr>
        <w:t>an additional three (3)</w:t>
      </w:r>
      <w:r w:rsidR="000F39D6" w:rsidRPr="00FF3166">
        <w:rPr>
          <w:rFonts w:ascii="Arial" w:hAnsi="Arial" w:cs="Arial"/>
          <w:bCs/>
          <w:sz w:val="22"/>
          <w:szCs w:val="22"/>
        </w:rPr>
        <w:t>,</w:t>
      </w:r>
      <w:r w:rsidR="0042654B" w:rsidRPr="00FF3166">
        <w:rPr>
          <w:rFonts w:ascii="Arial" w:hAnsi="Arial" w:cs="Arial"/>
          <w:bCs/>
          <w:sz w:val="22"/>
          <w:szCs w:val="22"/>
        </w:rPr>
        <w:t xml:space="preserve"> one-year periods through June 30, 202</w:t>
      </w:r>
      <w:r w:rsidR="000F39D6" w:rsidRPr="00FF3166">
        <w:rPr>
          <w:rFonts w:ascii="Arial" w:hAnsi="Arial" w:cs="Arial"/>
          <w:bCs/>
          <w:sz w:val="22"/>
          <w:szCs w:val="22"/>
        </w:rPr>
        <w:t>9</w:t>
      </w:r>
      <w:r w:rsidR="008306D2" w:rsidRPr="00FF3166">
        <w:rPr>
          <w:rFonts w:ascii="Arial" w:hAnsi="Arial" w:cs="Arial"/>
          <w:bCs/>
          <w:sz w:val="22"/>
          <w:szCs w:val="22"/>
        </w:rPr>
        <w:t xml:space="preserve">, subject </w:t>
      </w:r>
      <w:r w:rsidR="00AB1765" w:rsidRPr="00FF3166">
        <w:rPr>
          <w:rFonts w:ascii="Arial" w:hAnsi="Arial" w:cs="Arial"/>
          <w:bCs/>
          <w:sz w:val="22"/>
          <w:szCs w:val="22"/>
        </w:rPr>
        <w:t xml:space="preserve">to successful contract </w:t>
      </w:r>
      <w:r w:rsidR="008306D2" w:rsidRPr="00FF3166">
        <w:rPr>
          <w:rFonts w:ascii="Arial" w:hAnsi="Arial" w:cs="Arial"/>
          <w:bCs/>
          <w:sz w:val="22"/>
          <w:szCs w:val="22"/>
        </w:rPr>
        <w:t>negotiations</w:t>
      </w:r>
      <w:r w:rsidR="00120122" w:rsidRPr="00FF3166">
        <w:rPr>
          <w:rFonts w:ascii="Arial" w:hAnsi="Arial" w:cs="Arial"/>
          <w:bCs/>
          <w:sz w:val="22"/>
          <w:szCs w:val="22"/>
        </w:rPr>
        <w:t xml:space="preserve"> between </w:t>
      </w:r>
      <w:r w:rsidR="000F39D6" w:rsidRPr="00FF3166">
        <w:rPr>
          <w:rFonts w:ascii="Arial" w:hAnsi="Arial" w:cs="Arial"/>
          <w:bCs/>
          <w:sz w:val="22"/>
          <w:szCs w:val="22"/>
        </w:rPr>
        <w:t>Linea</w:t>
      </w:r>
      <w:r w:rsidR="00120122" w:rsidRPr="00FF3166">
        <w:rPr>
          <w:rFonts w:ascii="Arial" w:hAnsi="Arial" w:cs="Arial"/>
          <w:bCs/>
          <w:sz w:val="22"/>
          <w:szCs w:val="22"/>
        </w:rPr>
        <w:t xml:space="preserve"> and ETF</w:t>
      </w:r>
      <w:r w:rsidR="008306D2" w:rsidRPr="00FF3166">
        <w:rPr>
          <w:rFonts w:ascii="Arial" w:hAnsi="Arial" w:cs="Arial"/>
          <w:bCs/>
          <w:sz w:val="22"/>
          <w:szCs w:val="22"/>
        </w:rPr>
        <w:t>.</w:t>
      </w:r>
      <w:r w:rsidR="00AD5EED" w:rsidRPr="00FF3166">
        <w:rPr>
          <w:rFonts w:ascii="Arial" w:hAnsi="Arial" w:cs="Arial"/>
          <w:sz w:val="22"/>
          <w:szCs w:val="22"/>
        </w:rPr>
        <w:t xml:space="preserve"> </w:t>
      </w:r>
      <w:r w:rsidR="00FB699B" w:rsidRPr="00FF3166">
        <w:rPr>
          <w:rFonts w:ascii="Arial" w:hAnsi="Arial" w:cs="Arial"/>
          <w:sz w:val="22"/>
          <w:szCs w:val="22"/>
        </w:rPr>
        <w:t xml:space="preserve">The bid abstract for this solicitation is </w:t>
      </w:r>
      <w:r w:rsidR="0030547F">
        <w:rPr>
          <w:rFonts w:ascii="Arial" w:hAnsi="Arial" w:cs="Arial"/>
          <w:sz w:val="22"/>
          <w:szCs w:val="22"/>
        </w:rPr>
        <w:t>attached</w:t>
      </w:r>
      <w:r w:rsidR="00FB699B" w:rsidRPr="00FF3166">
        <w:rPr>
          <w:rFonts w:ascii="Arial" w:hAnsi="Arial" w:cs="Arial"/>
          <w:sz w:val="22"/>
          <w:szCs w:val="22"/>
        </w:rPr>
        <w:t>.</w:t>
      </w:r>
    </w:p>
    <w:p w14:paraId="794F4B74" w14:textId="77777777" w:rsidR="00FF3166" w:rsidRDefault="00FF3166" w:rsidP="0030547F">
      <w:pPr>
        <w:rPr>
          <w:rFonts w:cs="Arial"/>
          <w:szCs w:val="22"/>
        </w:rPr>
      </w:pPr>
    </w:p>
    <w:p w14:paraId="56B05E4F" w14:textId="65190EC8" w:rsidR="00842FCD" w:rsidRPr="00FF3166" w:rsidRDefault="00842FCD" w:rsidP="0030547F">
      <w:pPr>
        <w:rPr>
          <w:rFonts w:cs="Arial"/>
          <w:szCs w:val="22"/>
        </w:rPr>
      </w:pPr>
      <w:r w:rsidRPr="00FF3166">
        <w:rPr>
          <w:rFonts w:cs="Arial"/>
          <w:szCs w:val="22"/>
        </w:rPr>
        <w:t xml:space="preserve">Due to the time sensitive nature of an executed contract, </w:t>
      </w:r>
      <w:r w:rsidR="00795C5D" w:rsidRPr="00FF3166">
        <w:rPr>
          <w:rFonts w:cs="Arial"/>
          <w:szCs w:val="22"/>
        </w:rPr>
        <w:t>ETF</w:t>
      </w:r>
      <w:r w:rsidR="00672A5B">
        <w:rPr>
          <w:rFonts w:cs="Arial"/>
          <w:szCs w:val="22"/>
        </w:rPr>
        <w:t>’s</w:t>
      </w:r>
      <w:r w:rsidR="00795C5D" w:rsidRPr="00FF3166">
        <w:rPr>
          <w:rFonts w:cs="Arial"/>
          <w:szCs w:val="22"/>
        </w:rPr>
        <w:t xml:space="preserve"> </w:t>
      </w:r>
      <w:r w:rsidR="00672A5B">
        <w:rPr>
          <w:rFonts w:cs="Arial"/>
          <w:szCs w:val="22"/>
        </w:rPr>
        <w:t xml:space="preserve">Office of Internal Audit </w:t>
      </w:r>
      <w:r w:rsidR="00795C5D" w:rsidRPr="00FF3166">
        <w:rPr>
          <w:rFonts w:cs="Arial"/>
          <w:szCs w:val="22"/>
        </w:rPr>
        <w:t>may</w:t>
      </w:r>
      <w:r w:rsidRPr="00FF3166">
        <w:rPr>
          <w:rFonts w:cs="Arial"/>
          <w:szCs w:val="22"/>
        </w:rPr>
        <w:t xml:space="preserve"> issue an intent to award to the </w:t>
      </w:r>
      <w:r w:rsidR="00795C5D" w:rsidRPr="00FF3166">
        <w:rPr>
          <w:rFonts w:cs="Arial"/>
          <w:szCs w:val="22"/>
        </w:rPr>
        <w:t>evaluation committee’s next viable vendor</w:t>
      </w:r>
      <w:r w:rsidRPr="00FF3166">
        <w:rPr>
          <w:rFonts w:cs="Arial"/>
          <w:szCs w:val="22"/>
        </w:rPr>
        <w:t xml:space="preserve"> if contract negotiations fail or extend beyond a reasonable period of time with </w:t>
      </w:r>
      <w:r w:rsidR="006C0C6D" w:rsidRPr="00FF3166">
        <w:rPr>
          <w:rFonts w:cs="Arial"/>
          <w:szCs w:val="22"/>
        </w:rPr>
        <w:t>Linea</w:t>
      </w:r>
      <w:r w:rsidRPr="00FF3166">
        <w:rPr>
          <w:rFonts w:cs="Arial"/>
          <w:szCs w:val="22"/>
        </w:rPr>
        <w:t xml:space="preserve">. ETF expects contract negotiations to make reasonable progress toward conclusion by </w:t>
      </w:r>
      <w:r w:rsidR="0030547F">
        <w:rPr>
          <w:rFonts w:cs="Arial"/>
          <w:szCs w:val="22"/>
        </w:rPr>
        <w:t>mid-November 2024</w:t>
      </w:r>
      <w:r w:rsidRPr="00FF3166">
        <w:rPr>
          <w:rFonts w:cs="Arial"/>
          <w:szCs w:val="22"/>
        </w:rPr>
        <w:t>.</w:t>
      </w:r>
    </w:p>
    <w:p w14:paraId="48D3374C" w14:textId="77777777" w:rsidR="00BF560A" w:rsidRPr="00BF560A" w:rsidRDefault="00BF560A" w:rsidP="0030547F">
      <w:pPr>
        <w:autoSpaceDE w:val="0"/>
        <w:autoSpaceDN w:val="0"/>
        <w:adjustRightInd w:val="0"/>
        <w:rPr>
          <w:rFonts w:cs="Arial"/>
          <w:color w:val="000000"/>
          <w:szCs w:val="22"/>
        </w:rPr>
      </w:pPr>
    </w:p>
    <w:p w14:paraId="78DEB7CC" w14:textId="72718961" w:rsidR="00BF560A" w:rsidRPr="00FF3166" w:rsidRDefault="00BF560A" w:rsidP="0030547F">
      <w:pPr>
        <w:rPr>
          <w:rFonts w:cs="Arial"/>
          <w:color w:val="000000"/>
          <w:szCs w:val="22"/>
        </w:rPr>
      </w:pPr>
      <w:r w:rsidRPr="00FF3166">
        <w:rPr>
          <w:rFonts w:cs="Arial"/>
          <w:color w:val="000000"/>
          <w:szCs w:val="22"/>
        </w:rPr>
        <w:t xml:space="preserve">RFP Section 3.11 describes the Board’s policy for vendor procurement appeals. Should a vendor choose to appeal the intent to award decision herein, the vendor must provide the Department with notice of intent to appeal within five (5) business days of the date of this letter by emailing ETF at both </w:t>
      </w:r>
      <w:r w:rsidRPr="00FF3166">
        <w:rPr>
          <w:rFonts w:cs="Arial"/>
          <w:color w:val="0000FF"/>
          <w:szCs w:val="22"/>
        </w:rPr>
        <w:t xml:space="preserve">ETFSMBProcurementAppeals@etf.wi.gov </w:t>
      </w:r>
      <w:r w:rsidRPr="00FF3166">
        <w:rPr>
          <w:rFonts w:cs="Arial"/>
          <w:color w:val="000000"/>
          <w:szCs w:val="22"/>
        </w:rPr>
        <w:t xml:space="preserve">and </w:t>
      </w:r>
      <w:r w:rsidRPr="00FF3166">
        <w:rPr>
          <w:rFonts w:cs="Arial"/>
          <w:color w:val="0000FF"/>
          <w:szCs w:val="22"/>
        </w:rPr>
        <w:t>ETFSMBProcurement@etf.wi.gov</w:t>
      </w:r>
      <w:r w:rsidRPr="00FF3166">
        <w:rPr>
          <w:rFonts w:cs="Arial"/>
          <w:color w:val="000000"/>
          <w:szCs w:val="22"/>
        </w:rPr>
        <w:t>. Appeal letters must include the information specified in the Board</w:t>
      </w:r>
      <w:r w:rsidR="00B0366D" w:rsidRPr="00FF3166">
        <w:rPr>
          <w:rFonts w:cs="Arial"/>
          <w:color w:val="000000"/>
          <w:szCs w:val="22"/>
        </w:rPr>
        <w:t xml:space="preserve">’s Vendor Procurement Appeals Policy </w:t>
      </w:r>
      <w:r w:rsidR="00601221" w:rsidRPr="00FF3166">
        <w:rPr>
          <w:rFonts w:cs="Arial"/>
          <w:color w:val="000000"/>
          <w:szCs w:val="22"/>
        </w:rPr>
        <w:t xml:space="preserve">(attached) </w:t>
      </w:r>
      <w:r w:rsidRPr="00FF3166">
        <w:rPr>
          <w:rFonts w:cs="Arial"/>
          <w:color w:val="000000"/>
          <w:szCs w:val="22"/>
        </w:rPr>
        <w:t xml:space="preserve">and be sent to the same email addresses above within ten (10) business days of the date of this letter. </w:t>
      </w:r>
    </w:p>
    <w:p w14:paraId="7F0FB360" w14:textId="77777777" w:rsidR="00FF3166" w:rsidRDefault="00FF3166" w:rsidP="0030547F">
      <w:pPr>
        <w:rPr>
          <w:rFonts w:cs="Arial"/>
          <w:szCs w:val="22"/>
        </w:rPr>
      </w:pPr>
    </w:p>
    <w:p w14:paraId="471EE539" w14:textId="4B00F6FA" w:rsidR="00EE31A2" w:rsidRPr="00FF3166" w:rsidRDefault="00EE31A2" w:rsidP="0030547F">
      <w:pPr>
        <w:rPr>
          <w:rFonts w:cs="Arial"/>
          <w:szCs w:val="22"/>
        </w:rPr>
      </w:pPr>
      <w:r w:rsidRPr="00FF3166">
        <w:rPr>
          <w:rFonts w:cs="Arial"/>
          <w:szCs w:val="22"/>
        </w:rPr>
        <w:t xml:space="preserve">This letter is </w:t>
      </w:r>
      <w:r w:rsidR="004970AF" w:rsidRPr="00FF3166">
        <w:rPr>
          <w:rFonts w:cs="Arial"/>
          <w:szCs w:val="22"/>
        </w:rPr>
        <w:t xml:space="preserve">only </w:t>
      </w:r>
      <w:r w:rsidRPr="00FF3166">
        <w:rPr>
          <w:rFonts w:cs="Arial"/>
          <w:szCs w:val="22"/>
        </w:rPr>
        <w:t>a notice of intent to contract and does not constitute a contractual commitment</w:t>
      </w:r>
      <w:r w:rsidR="00B64BB7" w:rsidRPr="00FF3166">
        <w:rPr>
          <w:rFonts w:cs="Arial"/>
          <w:szCs w:val="22"/>
        </w:rPr>
        <w:t>.</w:t>
      </w:r>
    </w:p>
    <w:p w14:paraId="6D8283C0" w14:textId="77777777" w:rsidR="00FF3166" w:rsidRDefault="00FF3166" w:rsidP="0030547F">
      <w:pPr>
        <w:autoSpaceDE w:val="0"/>
        <w:autoSpaceDN w:val="0"/>
        <w:adjustRightInd w:val="0"/>
        <w:rPr>
          <w:rFonts w:cs="Arial"/>
          <w:color w:val="000000"/>
          <w:szCs w:val="22"/>
        </w:rPr>
      </w:pPr>
    </w:p>
    <w:p w14:paraId="074CA476" w14:textId="186172EC" w:rsidR="00DF2A0B" w:rsidRDefault="00DF2A0B" w:rsidP="0030547F">
      <w:pPr>
        <w:autoSpaceDE w:val="0"/>
        <w:autoSpaceDN w:val="0"/>
        <w:adjustRightInd w:val="0"/>
        <w:rPr>
          <w:rFonts w:cs="Arial"/>
          <w:color w:val="000000"/>
          <w:szCs w:val="22"/>
        </w:rPr>
      </w:pPr>
      <w:r w:rsidRPr="00FF3166">
        <w:rPr>
          <w:rFonts w:cs="Arial"/>
          <w:color w:val="000000"/>
          <w:szCs w:val="22"/>
        </w:rPr>
        <w:t xml:space="preserve">Respectfully, </w:t>
      </w:r>
    </w:p>
    <w:p w14:paraId="306B393B" w14:textId="77777777" w:rsidR="002B2BD9" w:rsidRDefault="002B2BD9" w:rsidP="0030547F">
      <w:pPr>
        <w:autoSpaceDE w:val="0"/>
        <w:autoSpaceDN w:val="0"/>
        <w:adjustRightInd w:val="0"/>
        <w:rPr>
          <w:rFonts w:cs="Arial"/>
          <w:color w:val="000000"/>
          <w:szCs w:val="22"/>
        </w:rPr>
      </w:pPr>
    </w:p>
    <w:p w14:paraId="5ADA4743" w14:textId="65C3EF50" w:rsidR="002B2BD9" w:rsidRPr="002B2BD9" w:rsidRDefault="002B2BD9" w:rsidP="0030547F">
      <w:pPr>
        <w:autoSpaceDE w:val="0"/>
        <w:autoSpaceDN w:val="0"/>
        <w:adjustRightInd w:val="0"/>
        <w:rPr>
          <w:rFonts w:ascii="Segoe Script" w:hAnsi="Segoe Script" w:cs="Arial"/>
          <w:b/>
          <w:bCs/>
          <w:color w:val="000000"/>
          <w:szCs w:val="22"/>
        </w:rPr>
      </w:pPr>
      <w:r w:rsidRPr="002B2BD9">
        <w:rPr>
          <w:rFonts w:ascii="Segoe Script" w:hAnsi="Segoe Script" w:cs="Arial"/>
          <w:b/>
          <w:bCs/>
          <w:color w:val="000000"/>
          <w:szCs w:val="22"/>
        </w:rPr>
        <w:t>Beth</w:t>
      </w:r>
    </w:p>
    <w:p w14:paraId="224DF3CC" w14:textId="77777777" w:rsidR="00EE31A2" w:rsidRPr="00FF3166" w:rsidRDefault="00EE31A2" w:rsidP="0030547F">
      <w:pPr>
        <w:autoSpaceDE w:val="0"/>
        <w:autoSpaceDN w:val="0"/>
        <w:adjustRightInd w:val="0"/>
        <w:rPr>
          <w:rFonts w:cs="Arial"/>
          <w:color w:val="000000"/>
          <w:szCs w:val="22"/>
        </w:rPr>
      </w:pPr>
    </w:p>
    <w:p w14:paraId="248D246D" w14:textId="77777777" w:rsidR="00DF2A0B" w:rsidRPr="00FF3166" w:rsidRDefault="00DC40B6" w:rsidP="0030547F">
      <w:pPr>
        <w:autoSpaceDE w:val="0"/>
        <w:autoSpaceDN w:val="0"/>
        <w:adjustRightInd w:val="0"/>
        <w:rPr>
          <w:rFonts w:cs="Arial"/>
          <w:color w:val="000000"/>
          <w:szCs w:val="22"/>
        </w:rPr>
      </w:pPr>
      <w:r w:rsidRPr="00FF3166">
        <w:rPr>
          <w:rFonts w:cs="Arial"/>
          <w:color w:val="000000"/>
          <w:szCs w:val="22"/>
        </w:rPr>
        <w:t>Beth Bucaida</w:t>
      </w:r>
      <w:r w:rsidR="00EB4D32" w:rsidRPr="00FF3166">
        <w:rPr>
          <w:rFonts w:cs="Arial"/>
          <w:color w:val="000000"/>
          <w:szCs w:val="22"/>
        </w:rPr>
        <w:t>, JD, MBA</w:t>
      </w:r>
      <w:r w:rsidR="00DF2A0B" w:rsidRPr="00FF3166">
        <w:rPr>
          <w:rFonts w:cs="Arial"/>
          <w:color w:val="000000"/>
          <w:szCs w:val="22"/>
        </w:rPr>
        <w:t xml:space="preserve"> </w:t>
      </w:r>
    </w:p>
    <w:p w14:paraId="55BB39FF" w14:textId="77777777" w:rsidR="00DF2A0B" w:rsidRPr="00FF3166" w:rsidRDefault="00AB1765" w:rsidP="0030547F">
      <w:pPr>
        <w:autoSpaceDE w:val="0"/>
        <w:autoSpaceDN w:val="0"/>
        <w:adjustRightInd w:val="0"/>
        <w:rPr>
          <w:rFonts w:cs="Arial"/>
          <w:color w:val="000000"/>
          <w:szCs w:val="22"/>
        </w:rPr>
      </w:pPr>
      <w:r w:rsidRPr="00FF3166">
        <w:rPr>
          <w:rFonts w:cs="Arial"/>
          <w:color w:val="000000"/>
          <w:szCs w:val="22"/>
        </w:rPr>
        <w:t>Contracts Specialist-Advanced</w:t>
      </w:r>
      <w:r w:rsidR="00DF2A0B" w:rsidRPr="00FF3166">
        <w:rPr>
          <w:rFonts w:cs="Arial"/>
          <w:color w:val="000000"/>
          <w:szCs w:val="22"/>
        </w:rPr>
        <w:t xml:space="preserve"> </w:t>
      </w:r>
    </w:p>
    <w:p w14:paraId="0AACC1A8" w14:textId="77777777" w:rsidR="00DF2A0B" w:rsidRPr="00FF3166" w:rsidRDefault="00DF2A0B" w:rsidP="0030547F">
      <w:pPr>
        <w:autoSpaceDE w:val="0"/>
        <w:autoSpaceDN w:val="0"/>
        <w:adjustRightInd w:val="0"/>
        <w:rPr>
          <w:rFonts w:cs="Arial"/>
          <w:color w:val="000000"/>
          <w:szCs w:val="22"/>
        </w:rPr>
      </w:pPr>
      <w:r w:rsidRPr="00FF3166">
        <w:rPr>
          <w:rFonts w:cs="Arial"/>
          <w:color w:val="000000"/>
          <w:szCs w:val="22"/>
        </w:rPr>
        <w:t xml:space="preserve">Wisconsin Department of Employee Trust Funds </w:t>
      </w:r>
    </w:p>
    <w:p w14:paraId="208E1197" w14:textId="77777777" w:rsidR="00F172E7" w:rsidRPr="00FF3166" w:rsidRDefault="00DF2A0B" w:rsidP="0030547F">
      <w:pPr>
        <w:rPr>
          <w:rFonts w:cs="Arial"/>
          <w:color w:val="000000"/>
          <w:szCs w:val="22"/>
        </w:rPr>
      </w:pPr>
      <w:r w:rsidRPr="00FF3166">
        <w:rPr>
          <w:rFonts w:cs="Arial"/>
          <w:color w:val="000000"/>
          <w:szCs w:val="22"/>
        </w:rPr>
        <w:t xml:space="preserve">Email: </w:t>
      </w:r>
      <w:hyperlink r:id="rId11" w:history="1">
        <w:r w:rsidR="0025533A" w:rsidRPr="00FF3166">
          <w:rPr>
            <w:rStyle w:val="Hyperlink"/>
            <w:rFonts w:cs="Arial"/>
            <w:szCs w:val="22"/>
          </w:rPr>
          <w:t>ETFSMBProcurement@etf.wi.gov</w:t>
        </w:r>
      </w:hyperlink>
    </w:p>
    <w:p w14:paraId="0545933E" w14:textId="77777777" w:rsidR="00DF2A0B" w:rsidRPr="00FF3166" w:rsidRDefault="00DF2A0B" w:rsidP="00444533">
      <w:pPr>
        <w:rPr>
          <w:rFonts w:cs="Arial"/>
          <w:szCs w:val="22"/>
        </w:rPr>
      </w:pPr>
    </w:p>
    <w:p w14:paraId="5A30A7DE" w14:textId="77777777" w:rsidR="0083502C" w:rsidRPr="00FF3166" w:rsidRDefault="00C75E14" w:rsidP="000A0349">
      <w:pPr>
        <w:tabs>
          <w:tab w:val="left" w:pos="360"/>
        </w:tabs>
        <w:ind w:left="540" w:hanging="540"/>
        <w:rPr>
          <w:rFonts w:cs="Arial"/>
          <w:szCs w:val="22"/>
        </w:rPr>
      </w:pPr>
      <w:r w:rsidRPr="00FF3166">
        <w:rPr>
          <w:rFonts w:cs="Arial"/>
          <w:szCs w:val="22"/>
        </w:rPr>
        <w:lastRenderedPageBreak/>
        <w:t>cc</w:t>
      </w:r>
      <w:r w:rsidR="00EE31A2" w:rsidRPr="00FF3166">
        <w:rPr>
          <w:rFonts w:cs="Arial"/>
          <w:szCs w:val="22"/>
        </w:rPr>
        <w:t>:</w:t>
      </w:r>
      <w:r w:rsidR="00EE31A2" w:rsidRPr="00FF3166">
        <w:rPr>
          <w:rFonts w:cs="Arial"/>
          <w:szCs w:val="22"/>
        </w:rPr>
        <w:tab/>
      </w:r>
      <w:r w:rsidR="00DC5DC2" w:rsidRPr="00FF3166">
        <w:rPr>
          <w:rFonts w:cs="Arial"/>
          <w:szCs w:val="22"/>
        </w:rPr>
        <w:t>-</w:t>
      </w:r>
      <w:r w:rsidR="000A0349" w:rsidRPr="00FF3166">
        <w:rPr>
          <w:rFonts w:cs="Arial"/>
          <w:szCs w:val="22"/>
        </w:rPr>
        <w:tab/>
      </w:r>
      <w:r w:rsidR="009324DC" w:rsidRPr="00FF3166">
        <w:rPr>
          <w:rFonts w:cs="Arial"/>
          <w:szCs w:val="22"/>
        </w:rPr>
        <w:t xml:space="preserve"> </w:t>
      </w:r>
      <w:r w:rsidR="009E43DD" w:rsidRPr="00FF3166">
        <w:rPr>
          <w:rFonts w:cs="Arial"/>
          <w:szCs w:val="22"/>
        </w:rPr>
        <w:tab/>
      </w:r>
      <w:r w:rsidR="0083502C" w:rsidRPr="00FF3166">
        <w:rPr>
          <w:rFonts w:cs="Arial"/>
          <w:szCs w:val="22"/>
        </w:rPr>
        <w:t>AJ Gallagher</w:t>
      </w:r>
    </w:p>
    <w:p w14:paraId="3F87FF3E" w14:textId="77777777" w:rsidR="0083502C" w:rsidRPr="00FF3166" w:rsidRDefault="0083502C" w:rsidP="0083502C">
      <w:pPr>
        <w:pStyle w:val="ListParagraph"/>
        <w:numPr>
          <w:ilvl w:val="0"/>
          <w:numId w:val="6"/>
        </w:numPr>
        <w:tabs>
          <w:tab w:val="left" w:pos="360"/>
        </w:tabs>
        <w:rPr>
          <w:rFonts w:cs="Arial"/>
          <w:szCs w:val="22"/>
        </w:rPr>
      </w:pPr>
      <w:r w:rsidRPr="00FF3166">
        <w:rPr>
          <w:rFonts w:cs="Arial"/>
          <w:szCs w:val="22"/>
        </w:rPr>
        <w:t>Baker Tilly</w:t>
      </w:r>
    </w:p>
    <w:p w14:paraId="3124FCE7" w14:textId="77777777" w:rsidR="0083502C" w:rsidRPr="00FF3166" w:rsidRDefault="0083502C" w:rsidP="0083502C">
      <w:pPr>
        <w:pStyle w:val="ListParagraph"/>
        <w:numPr>
          <w:ilvl w:val="0"/>
          <w:numId w:val="6"/>
        </w:numPr>
        <w:tabs>
          <w:tab w:val="left" w:pos="360"/>
        </w:tabs>
        <w:rPr>
          <w:rFonts w:cs="Arial"/>
          <w:szCs w:val="22"/>
        </w:rPr>
      </w:pPr>
      <w:r w:rsidRPr="00FF3166">
        <w:rPr>
          <w:rFonts w:cs="Arial"/>
          <w:szCs w:val="22"/>
        </w:rPr>
        <w:t>BayInfotech</w:t>
      </w:r>
    </w:p>
    <w:p w14:paraId="3CA70512" w14:textId="181649C5" w:rsidR="0083502C" w:rsidRPr="00FF3166" w:rsidRDefault="0083502C" w:rsidP="0083502C">
      <w:pPr>
        <w:pStyle w:val="ListParagraph"/>
        <w:numPr>
          <w:ilvl w:val="0"/>
          <w:numId w:val="6"/>
        </w:numPr>
        <w:tabs>
          <w:tab w:val="left" w:pos="360"/>
        </w:tabs>
        <w:rPr>
          <w:rFonts w:cs="Arial"/>
          <w:szCs w:val="22"/>
        </w:rPr>
      </w:pPr>
      <w:proofErr w:type="spellStart"/>
      <w:r w:rsidRPr="00FF3166">
        <w:rPr>
          <w:rFonts w:cs="Arial"/>
          <w:szCs w:val="22"/>
        </w:rPr>
        <w:t>CliftonLarsenAllen</w:t>
      </w:r>
      <w:proofErr w:type="spellEnd"/>
    </w:p>
    <w:p w14:paraId="041E80D9" w14:textId="77777777" w:rsidR="0083502C" w:rsidRPr="00FF3166" w:rsidRDefault="0083502C" w:rsidP="0083502C">
      <w:pPr>
        <w:pStyle w:val="ListParagraph"/>
        <w:numPr>
          <w:ilvl w:val="0"/>
          <w:numId w:val="6"/>
        </w:numPr>
        <w:tabs>
          <w:tab w:val="left" w:pos="360"/>
        </w:tabs>
        <w:rPr>
          <w:rFonts w:cs="Arial"/>
          <w:szCs w:val="22"/>
        </w:rPr>
      </w:pPr>
      <w:proofErr w:type="spellStart"/>
      <w:r w:rsidRPr="00FF3166">
        <w:rPr>
          <w:rFonts w:cs="Arial"/>
          <w:szCs w:val="22"/>
        </w:rPr>
        <w:t>CyberForce</w:t>
      </w:r>
      <w:proofErr w:type="spellEnd"/>
    </w:p>
    <w:p w14:paraId="2733FEC4" w14:textId="77777777" w:rsidR="0083502C" w:rsidRPr="00FF3166" w:rsidRDefault="0083502C" w:rsidP="0083502C">
      <w:pPr>
        <w:pStyle w:val="ListParagraph"/>
        <w:numPr>
          <w:ilvl w:val="0"/>
          <w:numId w:val="6"/>
        </w:numPr>
        <w:tabs>
          <w:tab w:val="left" w:pos="360"/>
        </w:tabs>
        <w:rPr>
          <w:rFonts w:cs="Arial"/>
          <w:szCs w:val="22"/>
        </w:rPr>
      </w:pPr>
      <w:r w:rsidRPr="00FF3166">
        <w:rPr>
          <w:rFonts w:cs="Arial"/>
          <w:szCs w:val="22"/>
        </w:rPr>
        <w:t>Deloitte</w:t>
      </w:r>
    </w:p>
    <w:p w14:paraId="6466E687" w14:textId="77777777" w:rsidR="0083502C" w:rsidRPr="00FF3166" w:rsidRDefault="0083502C" w:rsidP="0083502C">
      <w:pPr>
        <w:pStyle w:val="ListParagraph"/>
        <w:numPr>
          <w:ilvl w:val="0"/>
          <w:numId w:val="6"/>
        </w:numPr>
        <w:tabs>
          <w:tab w:val="left" w:pos="360"/>
        </w:tabs>
        <w:rPr>
          <w:rFonts w:cs="Arial"/>
          <w:szCs w:val="22"/>
        </w:rPr>
      </w:pPr>
      <w:proofErr w:type="spellStart"/>
      <w:r w:rsidRPr="00FF3166">
        <w:rPr>
          <w:rFonts w:cs="Arial"/>
          <w:szCs w:val="22"/>
        </w:rPr>
        <w:t>ERMProtect</w:t>
      </w:r>
      <w:proofErr w:type="spellEnd"/>
    </w:p>
    <w:p w14:paraId="435D5FF4" w14:textId="77777777" w:rsidR="0083502C" w:rsidRPr="00FF3166" w:rsidRDefault="0083502C" w:rsidP="0083502C">
      <w:pPr>
        <w:pStyle w:val="ListParagraph"/>
        <w:numPr>
          <w:ilvl w:val="0"/>
          <w:numId w:val="6"/>
        </w:numPr>
        <w:tabs>
          <w:tab w:val="left" w:pos="360"/>
        </w:tabs>
        <w:rPr>
          <w:rFonts w:cs="Arial"/>
          <w:szCs w:val="22"/>
        </w:rPr>
      </w:pPr>
      <w:proofErr w:type="spellStart"/>
      <w:r w:rsidRPr="00FF3166">
        <w:rPr>
          <w:rFonts w:cs="Arial"/>
          <w:szCs w:val="22"/>
        </w:rPr>
        <w:t>Eviden</w:t>
      </w:r>
      <w:proofErr w:type="spellEnd"/>
    </w:p>
    <w:p w14:paraId="492F5ADF" w14:textId="77777777" w:rsidR="0083502C" w:rsidRPr="00FF3166" w:rsidRDefault="0083502C" w:rsidP="0083502C">
      <w:pPr>
        <w:pStyle w:val="ListParagraph"/>
        <w:numPr>
          <w:ilvl w:val="0"/>
          <w:numId w:val="6"/>
        </w:numPr>
        <w:tabs>
          <w:tab w:val="left" w:pos="360"/>
        </w:tabs>
        <w:rPr>
          <w:rFonts w:cs="Arial"/>
          <w:szCs w:val="22"/>
        </w:rPr>
      </w:pPr>
      <w:proofErr w:type="spellStart"/>
      <w:r w:rsidRPr="00FF3166">
        <w:rPr>
          <w:rFonts w:cs="Arial"/>
          <w:szCs w:val="22"/>
        </w:rPr>
        <w:t>Forvis</w:t>
      </w:r>
      <w:proofErr w:type="spellEnd"/>
      <w:r w:rsidRPr="00FF3166">
        <w:rPr>
          <w:rFonts w:cs="Arial"/>
          <w:szCs w:val="22"/>
        </w:rPr>
        <w:t xml:space="preserve"> Mazars</w:t>
      </w:r>
    </w:p>
    <w:p w14:paraId="766CE9C9" w14:textId="77777777" w:rsidR="0083502C" w:rsidRPr="00FF3166" w:rsidRDefault="0083502C" w:rsidP="0083502C">
      <w:pPr>
        <w:pStyle w:val="ListParagraph"/>
        <w:numPr>
          <w:ilvl w:val="0"/>
          <w:numId w:val="6"/>
        </w:numPr>
        <w:tabs>
          <w:tab w:val="left" w:pos="360"/>
        </w:tabs>
        <w:rPr>
          <w:rFonts w:cs="Arial"/>
          <w:szCs w:val="22"/>
        </w:rPr>
      </w:pPr>
      <w:r w:rsidRPr="00FF3166">
        <w:rPr>
          <w:rFonts w:cs="Arial"/>
          <w:szCs w:val="22"/>
        </w:rPr>
        <w:t>JANUS</w:t>
      </w:r>
    </w:p>
    <w:p w14:paraId="5E43594B" w14:textId="77777777" w:rsidR="0083502C" w:rsidRPr="00FF3166" w:rsidRDefault="0083502C" w:rsidP="0083502C">
      <w:pPr>
        <w:pStyle w:val="ListParagraph"/>
        <w:numPr>
          <w:ilvl w:val="0"/>
          <w:numId w:val="6"/>
        </w:numPr>
        <w:tabs>
          <w:tab w:val="left" w:pos="360"/>
        </w:tabs>
        <w:rPr>
          <w:rFonts w:cs="Arial"/>
          <w:szCs w:val="22"/>
        </w:rPr>
      </w:pPr>
      <w:r w:rsidRPr="00FF3166">
        <w:rPr>
          <w:rFonts w:cs="Arial"/>
          <w:szCs w:val="22"/>
        </w:rPr>
        <w:t>Jefferson Wells</w:t>
      </w:r>
    </w:p>
    <w:p w14:paraId="592E6CA4" w14:textId="368D1AA1" w:rsidR="001F2A74" w:rsidRPr="00FF3166" w:rsidRDefault="009324DC" w:rsidP="0083502C">
      <w:pPr>
        <w:pStyle w:val="ListParagraph"/>
        <w:numPr>
          <w:ilvl w:val="0"/>
          <w:numId w:val="6"/>
        </w:numPr>
        <w:tabs>
          <w:tab w:val="left" w:pos="360"/>
        </w:tabs>
        <w:rPr>
          <w:rFonts w:cs="Arial"/>
          <w:szCs w:val="22"/>
        </w:rPr>
      </w:pPr>
      <w:r w:rsidRPr="00FF3166">
        <w:rPr>
          <w:rFonts w:cs="Arial"/>
          <w:szCs w:val="22"/>
        </w:rPr>
        <w:t>Protiviti</w:t>
      </w:r>
    </w:p>
    <w:p w14:paraId="650AB57B" w14:textId="77777777" w:rsidR="009324DC" w:rsidRPr="00FF3166" w:rsidRDefault="009324DC" w:rsidP="009E43DD">
      <w:pPr>
        <w:pStyle w:val="ListParagraph"/>
        <w:numPr>
          <w:ilvl w:val="0"/>
          <w:numId w:val="6"/>
        </w:numPr>
        <w:tabs>
          <w:tab w:val="left" w:pos="360"/>
        </w:tabs>
        <w:rPr>
          <w:rFonts w:cs="Arial"/>
          <w:szCs w:val="22"/>
        </w:rPr>
      </w:pPr>
      <w:r w:rsidRPr="00FF3166">
        <w:rPr>
          <w:rFonts w:cs="Arial"/>
          <w:szCs w:val="22"/>
        </w:rPr>
        <w:t>Securance</w:t>
      </w:r>
    </w:p>
    <w:p w14:paraId="66E10AB8" w14:textId="734FBA05" w:rsidR="009E43DD" w:rsidRPr="00FF3166" w:rsidRDefault="0083502C" w:rsidP="009E43DD">
      <w:pPr>
        <w:pStyle w:val="ListParagraph"/>
        <w:numPr>
          <w:ilvl w:val="0"/>
          <w:numId w:val="6"/>
        </w:numPr>
        <w:tabs>
          <w:tab w:val="left" w:pos="360"/>
        </w:tabs>
        <w:rPr>
          <w:rFonts w:cs="Arial"/>
          <w:szCs w:val="22"/>
        </w:rPr>
      </w:pPr>
      <w:r w:rsidRPr="00FF3166">
        <w:rPr>
          <w:rFonts w:cs="Arial"/>
          <w:szCs w:val="22"/>
        </w:rPr>
        <w:t>Weaver &amp; Tidwell</w:t>
      </w:r>
    </w:p>
    <w:p w14:paraId="64285CA3" w14:textId="70CA4B0A" w:rsidR="00EE31A2" w:rsidRPr="00FF3166" w:rsidRDefault="000A0349" w:rsidP="000A0349">
      <w:pPr>
        <w:tabs>
          <w:tab w:val="left" w:pos="360"/>
        </w:tabs>
        <w:ind w:left="540" w:hanging="540"/>
        <w:rPr>
          <w:rFonts w:cs="Arial"/>
          <w:szCs w:val="22"/>
        </w:rPr>
      </w:pPr>
      <w:r w:rsidRPr="00FF3166">
        <w:rPr>
          <w:rFonts w:cs="Arial"/>
          <w:szCs w:val="22"/>
        </w:rPr>
        <w:tab/>
      </w:r>
      <w:r w:rsidR="00DC5DC2" w:rsidRPr="00FF3166">
        <w:rPr>
          <w:rFonts w:cs="Arial"/>
          <w:szCs w:val="22"/>
        </w:rPr>
        <w:t xml:space="preserve">-  </w:t>
      </w:r>
      <w:r w:rsidR="009E43DD" w:rsidRPr="00FF3166">
        <w:rPr>
          <w:rFonts w:cs="Arial"/>
          <w:szCs w:val="22"/>
        </w:rPr>
        <w:tab/>
      </w:r>
      <w:r w:rsidR="00DC5DC2" w:rsidRPr="00FF3166">
        <w:rPr>
          <w:rFonts w:cs="Arial"/>
          <w:szCs w:val="22"/>
        </w:rPr>
        <w:t xml:space="preserve">RFP </w:t>
      </w:r>
      <w:r w:rsidR="00EE31A2" w:rsidRPr="00FF3166">
        <w:rPr>
          <w:rFonts w:cs="Arial"/>
          <w:szCs w:val="22"/>
        </w:rPr>
        <w:t>Evaluation Committee</w:t>
      </w:r>
    </w:p>
    <w:p w14:paraId="7B76B8AC" w14:textId="1BADBA44" w:rsidR="00120122" w:rsidRPr="00FF3166" w:rsidRDefault="000A0349" w:rsidP="000A0349">
      <w:pPr>
        <w:tabs>
          <w:tab w:val="left" w:pos="360"/>
        </w:tabs>
        <w:ind w:left="540" w:hanging="540"/>
        <w:rPr>
          <w:rFonts w:cs="Arial"/>
          <w:szCs w:val="22"/>
        </w:rPr>
      </w:pPr>
      <w:r w:rsidRPr="00FF3166">
        <w:rPr>
          <w:rFonts w:cs="Arial"/>
          <w:szCs w:val="22"/>
        </w:rPr>
        <w:tab/>
      </w:r>
      <w:r w:rsidR="00DC5DC2" w:rsidRPr="00FF3166">
        <w:rPr>
          <w:rFonts w:cs="Arial"/>
          <w:szCs w:val="22"/>
        </w:rPr>
        <w:t xml:space="preserve">-  </w:t>
      </w:r>
      <w:r w:rsidR="009E43DD" w:rsidRPr="00FF3166">
        <w:rPr>
          <w:rFonts w:cs="Arial"/>
          <w:szCs w:val="22"/>
        </w:rPr>
        <w:tab/>
      </w:r>
      <w:r w:rsidR="00EE31A2" w:rsidRPr="00FF3166">
        <w:rPr>
          <w:rFonts w:cs="Arial"/>
          <w:szCs w:val="22"/>
        </w:rPr>
        <w:t>ETF Procurement File</w:t>
      </w:r>
      <w:r w:rsidR="00DC5DC2" w:rsidRPr="00FF3166">
        <w:rPr>
          <w:rFonts w:cs="Arial"/>
          <w:szCs w:val="22"/>
        </w:rPr>
        <w:t xml:space="preserve">, </w:t>
      </w:r>
      <w:r w:rsidR="00444533" w:rsidRPr="00FF3166">
        <w:rPr>
          <w:rFonts w:cs="Arial"/>
          <w:szCs w:val="22"/>
        </w:rPr>
        <w:t>ETF Secretary</w:t>
      </w:r>
      <w:r w:rsidR="00C75E14" w:rsidRPr="00FF3166">
        <w:rPr>
          <w:rFonts w:cs="Arial"/>
          <w:szCs w:val="22"/>
        </w:rPr>
        <w:t>’s</w:t>
      </w:r>
      <w:r w:rsidR="00444533" w:rsidRPr="00FF3166">
        <w:rPr>
          <w:rFonts w:cs="Arial"/>
          <w:szCs w:val="22"/>
        </w:rPr>
        <w:t xml:space="preserve"> Office</w:t>
      </w:r>
      <w:r w:rsidR="00DC5DC2" w:rsidRPr="00FF3166">
        <w:rPr>
          <w:rFonts w:cs="Arial"/>
          <w:szCs w:val="22"/>
        </w:rPr>
        <w:t xml:space="preserve">, </w:t>
      </w:r>
      <w:r w:rsidR="00333F99" w:rsidRPr="00FF3166">
        <w:rPr>
          <w:rFonts w:cs="Arial"/>
          <w:szCs w:val="22"/>
        </w:rPr>
        <w:t xml:space="preserve">ETF </w:t>
      </w:r>
      <w:r w:rsidR="00120122" w:rsidRPr="00FF3166">
        <w:rPr>
          <w:rFonts w:cs="Arial"/>
          <w:szCs w:val="22"/>
        </w:rPr>
        <w:t xml:space="preserve">Office of Legal </w:t>
      </w:r>
      <w:r w:rsidR="00DC5DC2" w:rsidRPr="00FF3166">
        <w:rPr>
          <w:rFonts w:cs="Arial"/>
          <w:szCs w:val="22"/>
        </w:rPr>
        <w:t>Services</w:t>
      </w:r>
    </w:p>
    <w:p w14:paraId="14978810" w14:textId="77777777" w:rsidR="005901EF" w:rsidRPr="00FF3166" w:rsidRDefault="005901EF" w:rsidP="00DC5DC2">
      <w:pPr>
        <w:ind w:firstLine="720"/>
        <w:rPr>
          <w:rFonts w:cs="Arial"/>
          <w:szCs w:val="22"/>
        </w:rPr>
      </w:pPr>
    </w:p>
    <w:p w14:paraId="200BE54F" w14:textId="77777777" w:rsidR="00CF3EDF" w:rsidRDefault="00CF3EDF">
      <w:pPr>
        <w:rPr>
          <w:rFonts w:cs="Arial"/>
          <w:szCs w:val="22"/>
        </w:rPr>
      </w:pPr>
    </w:p>
    <w:p w14:paraId="1DEC49C6" w14:textId="77777777" w:rsidR="00FF3166" w:rsidRDefault="00FF3166">
      <w:pPr>
        <w:rPr>
          <w:rFonts w:cs="Arial"/>
          <w:szCs w:val="22"/>
        </w:rPr>
      </w:pPr>
      <w:r>
        <w:rPr>
          <w:rFonts w:cs="Arial"/>
          <w:szCs w:val="22"/>
        </w:rPr>
        <w:t xml:space="preserve">Attachments: </w:t>
      </w:r>
    </w:p>
    <w:p w14:paraId="7E10E34F" w14:textId="1D53D5B9" w:rsidR="00FF3166" w:rsidRPr="00FF3166" w:rsidRDefault="00FF3166" w:rsidP="00FF3166">
      <w:pPr>
        <w:pStyle w:val="ListParagraph"/>
        <w:numPr>
          <w:ilvl w:val="0"/>
          <w:numId w:val="6"/>
        </w:numPr>
        <w:rPr>
          <w:rFonts w:cs="Arial"/>
          <w:szCs w:val="22"/>
        </w:rPr>
      </w:pPr>
      <w:r w:rsidRPr="00FF3166">
        <w:rPr>
          <w:rFonts w:cs="Arial"/>
          <w:szCs w:val="22"/>
        </w:rPr>
        <w:t>Bid Abstract</w:t>
      </w:r>
    </w:p>
    <w:p w14:paraId="67C5B91F" w14:textId="3A7310D7" w:rsidR="00FF3166" w:rsidRPr="00FF3166" w:rsidRDefault="00FF3166" w:rsidP="00FF3166">
      <w:pPr>
        <w:pStyle w:val="ListParagraph"/>
        <w:numPr>
          <w:ilvl w:val="0"/>
          <w:numId w:val="6"/>
        </w:numPr>
        <w:rPr>
          <w:rFonts w:cs="Arial"/>
          <w:szCs w:val="22"/>
        </w:rPr>
        <w:sectPr w:rsidR="00FF3166" w:rsidRPr="00FF3166" w:rsidSect="00FB699B">
          <w:footerReference w:type="default" r:id="rId12"/>
          <w:pgSz w:w="12240" w:h="15840"/>
          <w:pgMar w:top="547" w:right="1152" w:bottom="720" w:left="1152" w:header="720" w:footer="720" w:gutter="0"/>
          <w:cols w:space="720"/>
        </w:sectPr>
      </w:pPr>
      <w:r w:rsidRPr="00FF3166">
        <w:rPr>
          <w:rFonts w:cs="Arial"/>
          <w:szCs w:val="22"/>
        </w:rPr>
        <w:t>Vendor Procurement Appeals Policy</w:t>
      </w:r>
    </w:p>
    <w:p w14:paraId="4247EEB9" w14:textId="77777777" w:rsidR="00CF3EDF" w:rsidRPr="00693262" w:rsidRDefault="00CF3EDF" w:rsidP="00CF3EDF">
      <w:pPr>
        <w:tabs>
          <w:tab w:val="left" w:pos="4716"/>
          <w:tab w:val="left" w:pos="5877"/>
          <w:tab w:val="left" w:pos="7038"/>
          <w:tab w:val="left" w:pos="8154"/>
          <w:tab w:val="left" w:pos="9378"/>
        </w:tabs>
        <w:spacing w:after="120"/>
        <w:rPr>
          <w:rFonts w:ascii="Times New Roman" w:hAnsi="Times New Roman"/>
          <w:szCs w:val="22"/>
        </w:rPr>
      </w:pPr>
      <w:r w:rsidRPr="00693262">
        <w:rPr>
          <w:rFonts w:cs="Arial"/>
          <w:b/>
          <w:bCs/>
          <w:color w:val="000000"/>
          <w:szCs w:val="22"/>
        </w:rPr>
        <w:lastRenderedPageBreak/>
        <w:t>Wisconsin Department of Employee Trust Funds</w:t>
      </w:r>
      <w:r w:rsidRPr="00693262">
        <w:rPr>
          <w:rFonts w:cs="Arial"/>
          <w:b/>
          <w:bCs/>
          <w:color w:val="000000"/>
          <w:szCs w:val="22"/>
        </w:rPr>
        <w:tab/>
      </w:r>
      <w:r w:rsidRPr="00693262">
        <w:rPr>
          <w:rFonts w:cs="Arial"/>
          <w:b/>
          <w:bCs/>
          <w:color w:val="000000"/>
          <w:szCs w:val="22"/>
        </w:rPr>
        <w:tab/>
      </w:r>
      <w:r w:rsidRPr="00693262">
        <w:rPr>
          <w:rFonts w:ascii="Times New Roman" w:hAnsi="Times New Roman"/>
          <w:szCs w:val="22"/>
        </w:rPr>
        <w:tab/>
      </w:r>
      <w:r w:rsidRPr="00693262">
        <w:rPr>
          <w:rFonts w:ascii="Times New Roman" w:hAnsi="Times New Roman"/>
          <w:szCs w:val="22"/>
        </w:rPr>
        <w:tab/>
      </w:r>
    </w:p>
    <w:p w14:paraId="5C9E0BBE" w14:textId="77777777" w:rsidR="00CF3EDF" w:rsidRPr="00693262" w:rsidRDefault="00CF3EDF" w:rsidP="00CF3EDF">
      <w:pPr>
        <w:spacing w:after="120"/>
        <w:rPr>
          <w:rFonts w:cs="Arial"/>
          <w:b/>
          <w:bCs/>
          <w:color w:val="000000"/>
          <w:szCs w:val="22"/>
        </w:rPr>
      </w:pPr>
      <w:r w:rsidRPr="00693262">
        <w:rPr>
          <w:rFonts w:cs="Arial"/>
          <w:b/>
          <w:bCs/>
          <w:color w:val="000000"/>
          <w:szCs w:val="22"/>
        </w:rPr>
        <w:t>FINAL BID ABSTRACT</w:t>
      </w:r>
    </w:p>
    <w:p w14:paraId="36355E60" w14:textId="7420999D" w:rsidR="00CF3EDF" w:rsidRDefault="00CF3EDF" w:rsidP="00CF3EDF">
      <w:pPr>
        <w:spacing w:after="60"/>
        <w:rPr>
          <w:rFonts w:cs="Arial"/>
          <w:b/>
          <w:szCs w:val="22"/>
        </w:rPr>
      </w:pPr>
      <w:r w:rsidRPr="00693262">
        <w:rPr>
          <w:rFonts w:cs="Arial"/>
          <w:b/>
          <w:bCs/>
          <w:color w:val="000000"/>
          <w:szCs w:val="22"/>
        </w:rPr>
        <w:t>RFP ET</w:t>
      </w:r>
      <w:r>
        <w:rPr>
          <w:rFonts w:cs="Arial"/>
          <w:b/>
          <w:bCs/>
          <w:color w:val="000000"/>
          <w:szCs w:val="22"/>
        </w:rPr>
        <w:t xml:space="preserve">D0060 </w:t>
      </w:r>
      <w:r w:rsidRPr="00693262">
        <w:rPr>
          <w:b/>
          <w:szCs w:val="22"/>
        </w:rPr>
        <w:t xml:space="preserve">for </w:t>
      </w:r>
      <w:r>
        <w:rPr>
          <w:rFonts w:cs="Arial"/>
          <w:b/>
          <w:szCs w:val="22"/>
        </w:rPr>
        <w:t>IT Audits and Consulting</w:t>
      </w:r>
    </w:p>
    <w:p w14:paraId="3C5FCF9E" w14:textId="77777777" w:rsidR="00CF3EDF" w:rsidRDefault="00CF3EDF"/>
    <w:tbl>
      <w:tblPr>
        <w:tblW w:w="17193" w:type="dxa"/>
        <w:tblInd w:w="-1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982"/>
        <w:gridCol w:w="1082"/>
        <w:gridCol w:w="1098"/>
        <w:gridCol w:w="774"/>
        <w:gridCol w:w="1151"/>
        <w:gridCol w:w="888"/>
        <w:gridCol w:w="1210"/>
        <w:gridCol w:w="774"/>
        <w:gridCol w:w="1406"/>
        <w:gridCol w:w="774"/>
        <w:gridCol w:w="1514"/>
        <w:gridCol w:w="777"/>
        <w:gridCol w:w="882"/>
        <w:gridCol w:w="1064"/>
        <w:gridCol w:w="1868"/>
      </w:tblGrid>
      <w:tr w:rsidR="00AE0421" w:rsidRPr="00261318" w14:paraId="774F16D8" w14:textId="77777777" w:rsidTr="002673B7">
        <w:trPr>
          <w:trHeight w:val="375"/>
        </w:trPr>
        <w:tc>
          <w:tcPr>
            <w:tcW w:w="1440" w:type="dxa"/>
            <w:shd w:val="clear" w:color="auto" w:fill="auto"/>
            <w:noWrap/>
            <w:vAlign w:val="bottom"/>
            <w:hideMark/>
          </w:tcPr>
          <w:p w14:paraId="30CC71AD" w14:textId="77777777" w:rsidR="00CF3EDF" w:rsidRPr="00CF3EDF" w:rsidRDefault="00CF3EDF" w:rsidP="00CF3EDF">
            <w:pPr>
              <w:rPr>
                <w:rFonts w:asciiTheme="minorHAnsi" w:hAnsiTheme="minorHAnsi" w:cstheme="minorHAnsi"/>
                <w:b/>
                <w:bCs/>
                <w:color w:val="000000"/>
                <w:sz w:val="20"/>
              </w:rPr>
            </w:pPr>
            <w:r w:rsidRPr="00CF3EDF">
              <w:rPr>
                <w:rFonts w:asciiTheme="minorHAnsi" w:hAnsiTheme="minorHAnsi" w:cstheme="minorHAnsi"/>
                <w:b/>
                <w:bCs/>
                <w:color w:val="000000"/>
                <w:sz w:val="20"/>
              </w:rPr>
              <w:t> </w:t>
            </w:r>
          </w:p>
        </w:tc>
        <w:tc>
          <w:tcPr>
            <w:tcW w:w="982" w:type="dxa"/>
            <w:shd w:val="clear" w:color="000000" w:fill="BFBFBF"/>
            <w:noWrap/>
            <w:vAlign w:val="center"/>
            <w:hideMark/>
          </w:tcPr>
          <w:p w14:paraId="2E31C288" w14:textId="77777777" w:rsidR="00CF3EDF" w:rsidRPr="00CF3EDF" w:rsidRDefault="00CF3EDF" w:rsidP="00CF3EDF">
            <w:pPr>
              <w:jc w:val="center"/>
              <w:rPr>
                <w:rFonts w:asciiTheme="minorHAnsi" w:hAnsiTheme="minorHAnsi" w:cstheme="minorHAnsi"/>
                <w:b/>
                <w:bCs/>
                <w:sz w:val="20"/>
              </w:rPr>
            </w:pPr>
            <w:proofErr w:type="spellStart"/>
            <w:r w:rsidRPr="00CF3EDF">
              <w:rPr>
                <w:rFonts w:asciiTheme="minorHAnsi" w:hAnsiTheme="minorHAnsi" w:cstheme="minorHAnsi"/>
                <w:b/>
                <w:bCs/>
                <w:sz w:val="20"/>
              </w:rPr>
              <w:t>AJG</w:t>
            </w:r>
            <w:proofErr w:type="spellEnd"/>
          </w:p>
        </w:tc>
        <w:tc>
          <w:tcPr>
            <w:tcW w:w="1082" w:type="dxa"/>
            <w:shd w:val="clear" w:color="000000" w:fill="BFBFBF"/>
            <w:noWrap/>
            <w:vAlign w:val="center"/>
            <w:hideMark/>
          </w:tcPr>
          <w:p w14:paraId="4600963A" w14:textId="77777777" w:rsidR="00CF3EDF" w:rsidRPr="00CF3EDF" w:rsidRDefault="00CF3EDF" w:rsidP="00F1700F">
            <w:pPr>
              <w:ind w:left="-107" w:right="-23"/>
              <w:jc w:val="center"/>
              <w:rPr>
                <w:rFonts w:asciiTheme="minorHAnsi" w:hAnsiTheme="minorHAnsi" w:cstheme="minorHAnsi"/>
                <w:b/>
                <w:bCs/>
                <w:sz w:val="20"/>
              </w:rPr>
            </w:pPr>
            <w:r w:rsidRPr="00CF3EDF">
              <w:rPr>
                <w:rFonts w:asciiTheme="minorHAnsi" w:hAnsiTheme="minorHAnsi" w:cstheme="minorHAnsi"/>
                <w:b/>
                <w:bCs/>
                <w:sz w:val="20"/>
              </w:rPr>
              <w:t>Baker Tilly</w:t>
            </w:r>
          </w:p>
        </w:tc>
        <w:tc>
          <w:tcPr>
            <w:tcW w:w="1098" w:type="dxa"/>
            <w:shd w:val="clear" w:color="000000" w:fill="D9E1F2"/>
            <w:noWrap/>
            <w:vAlign w:val="center"/>
            <w:hideMark/>
          </w:tcPr>
          <w:p w14:paraId="1F8FF91A" w14:textId="77777777" w:rsidR="00CF3EDF" w:rsidRPr="00CF3EDF" w:rsidRDefault="00CF3EDF" w:rsidP="00F1700F">
            <w:pPr>
              <w:ind w:left="-117"/>
              <w:jc w:val="center"/>
              <w:rPr>
                <w:rFonts w:asciiTheme="minorHAnsi" w:hAnsiTheme="minorHAnsi" w:cstheme="minorHAnsi"/>
                <w:b/>
                <w:bCs/>
                <w:color w:val="000000"/>
                <w:sz w:val="20"/>
              </w:rPr>
            </w:pPr>
            <w:r w:rsidRPr="00CF3EDF">
              <w:rPr>
                <w:rFonts w:asciiTheme="minorHAnsi" w:hAnsiTheme="minorHAnsi" w:cstheme="minorHAnsi"/>
                <w:b/>
                <w:bCs/>
                <w:color w:val="000000"/>
                <w:sz w:val="20"/>
              </w:rPr>
              <w:t>BayInfotech</w:t>
            </w:r>
          </w:p>
        </w:tc>
        <w:tc>
          <w:tcPr>
            <w:tcW w:w="774" w:type="dxa"/>
            <w:shd w:val="clear" w:color="000000" w:fill="BFBFBF"/>
            <w:noWrap/>
            <w:vAlign w:val="center"/>
            <w:hideMark/>
          </w:tcPr>
          <w:p w14:paraId="71541F9A" w14:textId="77777777" w:rsidR="00CF3EDF" w:rsidRPr="00CF3EDF" w:rsidRDefault="00CF3EDF" w:rsidP="00CF3EDF">
            <w:pPr>
              <w:jc w:val="center"/>
              <w:rPr>
                <w:rFonts w:asciiTheme="minorHAnsi" w:hAnsiTheme="minorHAnsi" w:cstheme="minorHAnsi"/>
                <w:b/>
                <w:bCs/>
                <w:color w:val="000000"/>
                <w:sz w:val="20"/>
              </w:rPr>
            </w:pPr>
            <w:r w:rsidRPr="00CF3EDF">
              <w:rPr>
                <w:rFonts w:asciiTheme="minorHAnsi" w:hAnsiTheme="minorHAnsi" w:cstheme="minorHAnsi"/>
                <w:b/>
                <w:bCs/>
                <w:color w:val="000000"/>
                <w:sz w:val="20"/>
              </w:rPr>
              <w:t>CLA</w:t>
            </w:r>
          </w:p>
        </w:tc>
        <w:tc>
          <w:tcPr>
            <w:tcW w:w="1151" w:type="dxa"/>
            <w:shd w:val="clear" w:color="000000" w:fill="BFBFBF"/>
            <w:noWrap/>
            <w:vAlign w:val="center"/>
            <w:hideMark/>
          </w:tcPr>
          <w:p w14:paraId="434D49E3" w14:textId="77777777" w:rsidR="00CF3EDF" w:rsidRPr="00CF3EDF" w:rsidRDefault="00CF3EDF" w:rsidP="00CF3EDF">
            <w:pPr>
              <w:jc w:val="center"/>
              <w:rPr>
                <w:rFonts w:asciiTheme="minorHAnsi" w:hAnsiTheme="minorHAnsi" w:cstheme="minorHAnsi"/>
                <w:b/>
                <w:bCs/>
                <w:color w:val="000000"/>
                <w:sz w:val="20"/>
              </w:rPr>
            </w:pPr>
            <w:proofErr w:type="spellStart"/>
            <w:r w:rsidRPr="00CF3EDF">
              <w:rPr>
                <w:rFonts w:asciiTheme="minorHAnsi" w:hAnsiTheme="minorHAnsi" w:cstheme="minorHAnsi"/>
                <w:b/>
                <w:bCs/>
                <w:color w:val="000000"/>
                <w:sz w:val="20"/>
              </w:rPr>
              <w:t>CyberForce</w:t>
            </w:r>
            <w:proofErr w:type="spellEnd"/>
          </w:p>
        </w:tc>
        <w:tc>
          <w:tcPr>
            <w:tcW w:w="888" w:type="dxa"/>
            <w:shd w:val="clear" w:color="000000" w:fill="BFBFBF"/>
            <w:noWrap/>
            <w:vAlign w:val="center"/>
            <w:hideMark/>
          </w:tcPr>
          <w:p w14:paraId="07185585" w14:textId="77777777" w:rsidR="00CF3EDF" w:rsidRPr="00CF3EDF" w:rsidRDefault="00CF3EDF" w:rsidP="00CF3EDF">
            <w:pPr>
              <w:jc w:val="center"/>
              <w:rPr>
                <w:rFonts w:asciiTheme="minorHAnsi" w:hAnsiTheme="minorHAnsi" w:cstheme="minorHAnsi"/>
                <w:b/>
                <w:bCs/>
                <w:color w:val="000000"/>
                <w:sz w:val="20"/>
              </w:rPr>
            </w:pPr>
            <w:r w:rsidRPr="00CF3EDF">
              <w:rPr>
                <w:rFonts w:asciiTheme="minorHAnsi" w:hAnsiTheme="minorHAnsi" w:cstheme="minorHAnsi"/>
                <w:b/>
                <w:bCs/>
                <w:color w:val="000000"/>
                <w:sz w:val="20"/>
              </w:rPr>
              <w:t>Deloitte</w:t>
            </w:r>
          </w:p>
        </w:tc>
        <w:tc>
          <w:tcPr>
            <w:tcW w:w="1210" w:type="dxa"/>
            <w:shd w:val="clear" w:color="000000" w:fill="BFBFBF"/>
            <w:noWrap/>
            <w:vAlign w:val="center"/>
            <w:hideMark/>
          </w:tcPr>
          <w:p w14:paraId="4B9590CE" w14:textId="77777777" w:rsidR="00CF3EDF" w:rsidRPr="00CF3EDF" w:rsidRDefault="00CF3EDF" w:rsidP="00CF3EDF">
            <w:pPr>
              <w:jc w:val="center"/>
              <w:rPr>
                <w:rFonts w:asciiTheme="minorHAnsi" w:hAnsiTheme="minorHAnsi" w:cstheme="minorHAnsi"/>
                <w:b/>
                <w:bCs/>
                <w:color w:val="000000"/>
                <w:sz w:val="20"/>
              </w:rPr>
            </w:pPr>
            <w:proofErr w:type="spellStart"/>
            <w:r w:rsidRPr="00CF3EDF">
              <w:rPr>
                <w:rFonts w:asciiTheme="minorHAnsi" w:hAnsiTheme="minorHAnsi" w:cstheme="minorHAnsi"/>
                <w:b/>
                <w:bCs/>
                <w:color w:val="000000"/>
                <w:sz w:val="20"/>
              </w:rPr>
              <w:t>ERMProtect</w:t>
            </w:r>
            <w:proofErr w:type="spellEnd"/>
          </w:p>
        </w:tc>
        <w:tc>
          <w:tcPr>
            <w:tcW w:w="774" w:type="dxa"/>
            <w:shd w:val="clear" w:color="000000" w:fill="BFBFBF"/>
            <w:noWrap/>
            <w:vAlign w:val="center"/>
            <w:hideMark/>
          </w:tcPr>
          <w:p w14:paraId="43E0FF3C" w14:textId="77777777" w:rsidR="00CF3EDF" w:rsidRPr="00CF3EDF" w:rsidRDefault="00CF3EDF" w:rsidP="00CF3EDF">
            <w:pPr>
              <w:jc w:val="center"/>
              <w:rPr>
                <w:rFonts w:asciiTheme="minorHAnsi" w:hAnsiTheme="minorHAnsi" w:cstheme="minorHAnsi"/>
                <w:b/>
                <w:bCs/>
                <w:color w:val="000000"/>
                <w:sz w:val="20"/>
              </w:rPr>
            </w:pPr>
            <w:proofErr w:type="spellStart"/>
            <w:r w:rsidRPr="00CF3EDF">
              <w:rPr>
                <w:rFonts w:asciiTheme="minorHAnsi" w:hAnsiTheme="minorHAnsi" w:cstheme="minorHAnsi"/>
                <w:b/>
                <w:bCs/>
                <w:color w:val="000000"/>
                <w:sz w:val="20"/>
              </w:rPr>
              <w:t>Eviden</w:t>
            </w:r>
            <w:proofErr w:type="spellEnd"/>
          </w:p>
        </w:tc>
        <w:tc>
          <w:tcPr>
            <w:tcW w:w="1406" w:type="dxa"/>
            <w:shd w:val="clear" w:color="000000" w:fill="D9E1F2"/>
            <w:noWrap/>
            <w:vAlign w:val="center"/>
            <w:hideMark/>
          </w:tcPr>
          <w:p w14:paraId="29AC76D1" w14:textId="77777777" w:rsidR="00CF3EDF" w:rsidRPr="00CF3EDF" w:rsidRDefault="00CF3EDF" w:rsidP="00CF3EDF">
            <w:pPr>
              <w:jc w:val="center"/>
              <w:rPr>
                <w:rFonts w:asciiTheme="minorHAnsi" w:hAnsiTheme="minorHAnsi" w:cstheme="minorHAnsi"/>
                <w:b/>
                <w:bCs/>
                <w:color w:val="000000"/>
                <w:sz w:val="20"/>
              </w:rPr>
            </w:pPr>
            <w:proofErr w:type="spellStart"/>
            <w:r w:rsidRPr="00CF3EDF">
              <w:rPr>
                <w:rFonts w:asciiTheme="minorHAnsi" w:hAnsiTheme="minorHAnsi" w:cstheme="minorHAnsi"/>
                <w:b/>
                <w:bCs/>
                <w:color w:val="000000"/>
                <w:sz w:val="20"/>
              </w:rPr>
              <w:t>Forvis</w:t>
            </w:r>
            <w:proofErr w:type="spellEnd"/>
            <w:r w:rsidRPr="00CF3EDF">
              <w:rPr>
                <w:rFonts w:asciiTheme="minorHAnsi" w:hAnsiTheme="minorHAnsi" w:cstheme="minorHAnsi"/>
                <w:b/>
                <w:bCs/>
                <w:color w:val="000000"/>
                <w:sz w:val="20"/>
              </w:rPr>
              <w:t xml:space="preserve"> Mazars</w:t>
            </w:r>
          </w:p>
        </w:tc>
        <w:tc>
          <w:tcPr>
            <w:tcW w:w="286" w:type="dxa"/>
            <w:shd w:val="clear" w:color="000000" w:fill="BFBFBF"/>
            <w:noWrap/>
            <w:vAlign w:val="center"/>
            <w:hideMark/>
          </w:tcPr>
          <w:p w14:paraId="5856F77B" w14:textId="77777777" w:rsidR="00CF3EDF" w:rsidRPr="00CF3EDF" w:rsidRDefault="00CF3EDF" w:rsidP="00CF3EDF">
            <w:pPr>
              <w:jc w:val="center"/>
              <w:rPr>
                <w:rFonts w:asciiTheme="minorHAnsi" w:hAnsiTheme="minorHAnsi" w:cstheme="minorHAnsi"/>
                <w:b/>
                <w:bCs/>
                <w:color w:val="000000"/>
                <w:sz w:val="20"/>
              </w:rPr>
            </w:pPr>
            <w:r w:rsidRPr="00CF3EDF">
              <w:rPr>
                <w:rFonts w:asciiTheme="minorHAnsi" w:hAnsiTheme="minorHAnsi" w:cstheme="minorHAnsi"/>
                <w:b/>
                <w:bCs/>
                <w:color w:val="000000"/>
                <w:sz w:val="20"/>
              </w:rPr>
              <w:t>JANUS</w:t>
            </w:r>
          </w:p>
        </w:tc>
        <w:tc>
          <w:tcPr>
            <w:tcW w:w="1514" w:type="dxa"/>
            <w:shd w:val="clear" w:color="000000" w:fill="BFBFBF"/>
            <w:noWrap/>
            <w:vAlign w:val="center"/>
            <w:hideMark/>
          </w:tcPr>
          <w:p w14:paraId="1B61156F" w14:textId="77777777" w:rsidR="00CF3EDF" w:rsidRPr="00CF3EDF" w:rsidRDefault="00CF3EDF" w:rsidP="00CF3EDF">
            <w:pPr>
              <w:jc w:val="center"/>
              <w:rPr>
                <w:rFonts w:asciiTheme="minorHAnsi" w:hAnsiTheme="minorHAnsi" w:cstheme="minorHAnsi"/>
                <w:b/>
                <w:bCs/>
                <w:color w:val="000000"/>
                <w:sz w:val="20"/>
              </w:rPr>
            </w:pPr>
            <w:r w:rsidRPr="00CF3EDF">
              <w:rPr>
                <w:rFonts w:asciiTheme="minorHAnsi" w:hAnsiTheme="minorHAnsi" w:cstheme="minorHAnsi"/>
                <w:b/>
                <w:bCs/>
                <w:color w:val="000000"/>
                <w:sz w:val="20"/>
              </w:rPr>
              <w:t xml:space="preserve">Jefferson Wells </w:t>
            </w:r>
          </w:p>
        </w:tc>
        <w:tc>
          <w:tcPr>
            <w:tcW w:w="774" w:type="dxa"/>
            <w:shd w:val="clear" w:color="000000" w:fill="D9E1F2"/>
            <w:noWrap/>
            <w:vAlign w:val="center"/>
            <w:hideMark/>
          </w:tcPr>
          <w:p w14:paraId="767FFE71" w14:textId="77777777" w:rsidR="00CF3EDF" w:rsidRPr="00CF3EDF" w:rsidRDefault="00CF3EDF" w:rsidP="00CF3EDF">
            <w:pPr>
              <w:jc w:val="center"/>
              <w:rPr>
                <w:rFonts w:asciiTheme="minorHAnsi" w:hAnsiTheme="minorHAnsi" w:cstheme="minorHAnsi"/>
                <w:b/>
                <w:bCs/>
                <w:color w:val="000000"/>
                <w:sz w:val="20"/>
              </w:rPr>
            </w:pPr>
            <w:r w:rsidRPr="00CF3EDF">
              <w:rPr>
                <w:rFonts w:asciiTheme="minorHAnsi" w:hAnsiTheme="minorHAnsi" w:cstheme="minorHAnsi"/>
                <w:b/>
                <w:bCs/>
                <w:color w:val="000000"/>
                <w:sz w:val="20"/>
              </w:rPr>
              <w:t>Linea</w:t>
            </w:r>
          </w:p>
        </w:tc>
        <w:tc>
          <w:tcPr>
            <w:tcW w:w="882" w:type="dxa"/>
            <w:shd w:val="clear" w:color="000000" w:fill="BFBFBF"/>
            <w:noWrap/>
            <w:vAlign w:val="center"/>
            <w:hideMark/>
          </w:tcPr>
          <w:p w14:paraId="27511AF5" w14:textId="77777777" w:rsidR="00CF3EDF" w:rsidRPr="00CF3EDF" w:rsidRDefault="00CF3EDF" w:rsidP="00CF3EDF">
            <w:pPr>
              <w:jc w:val="center"/>
              <w:rPr>
                <w:rFonts w:asciiTheme="minorHAnsi" w:hAnsiTheme="minorHAnsi" w:cstheme="minorHAnsi"/>
                <w:b/>
                <w:bCs/>
                <w:color w:val="000000"/>
                <w:sz w:val="20"/>
              </w:rPr>
            </w:pPr>
            <w:r w:rsidRPr="00CF3EDF">
              <w:rPr>
                <w:rFonts w:asciiTheme="minorHAnsi" w:hAnsiTheme="minorHAnsi" w:cstheme="minorHAnsi"/>
                <w:b/>
                <w:bCs/>
                <w:color w:val="000000"/>
                <w:sz w:val="20"/>
              </w:rPr>
              <w:t>Protiviti</w:t>
            </w:r>
          </w:p>
        </w:tc>
        <w:tc>
          <w:tcPr>
            <w:tcW w:w="1064" w:type="dxa"/>
            <w:shd w:val="clear" w:color="000000" w:fill="BFBFBF"/>
            <w:noWrap/>
            <w:vAlign w:val="bottom"/>
            <w:hideMark/>
          </w:tcPr>
          <w:p w14:paraId="6D83DDAD" w14:textId="77777777" w:rsidR="00CF3EDF" w:rsidRPr="00CF3EDF" w:rsidRDefault="00CF3EDF" w:rsidP="00CF3EDF">
            <w:pPr>
              <w:rPr>
                <w:rFonts w:asciiTheme="minorHAnsi" w:hAnsiTheme="minorHAnsi" w:cstheme="minorHAnsi"/>
                <w:b/>
                <w:bCs/>
                <w:color w:val="000000"/>
                <w:sz w:val="20"/>
              </w:rPr>
            </w:pPr>
            <w:r w:rsidRPr="00CF3EDF">
              <w:rPr>
                <w:rFonts w:asciiTheme="minorHAnsi" w:hAnsiTheme="minorHAnsi" w:cstheme="minorHAnsi"/>
                <w:b/>
                <w:bCs/>
                <w:color w:val="000000"/>
                <w:sz w:val="20"/>
              </w:rPr>
              <w:t>Securance</w:t>
            </w:r>
          </w:p>
        </w:tc>
        <w:tc>
          <w:tcPr>
            <w:tcW w:w="1868" w:type="dxa"/>
            <w:shd w:val="clear" w:color="000000" w:fill="D9E1F2"/>
            <w:noWrap/>
            <w:vAlign w:val="bottom"/>
            <w:hideMark/>
          </w:tcPr>
          <w:p w14:paraId="76DC2A49" w14:textId="77777777" w:rsidR="00CF3EDF" w:rsidRPr="00CF3EDF" w:rsidRDefault="00CF3EDF" w:rsidP="00CF3EDF">
            <w:pPr>
              <w:rPr>
                <w:rFonts w:asciiTheme="minorHAnsi" w:hAnsiTheme="minorHAnsi" w:cstheme="minorHAnsi"/>
                <w:b/>
                <w:bCs/>
                <w:color w:val="000000"/>
                <w:sz w:val="20"/>
              </w:rPr>
            </w:pPr>
            <w:r w:rsidRPr="00CF3EDF">
              <w:rPr>
                <w:rFonts w:asciiTheme="minorHAnsi" w:hAnsiTheme="minorHAnsi" w:cstheme="minorHAnsi"/>
                <w:b/>
                <w:bCs/>
                <w:color w:val="000000"/>
                <w:sz w:val="20"/>
              </w:rPr>
              <w:t>Weaver &amp; Tidwell</w:t>
            </w:r>
          </w:p>
        </w:tc>
      </w:tr>
      <w:tr w:rsidR="00AE0421" w:rsidRPr="00261318" w14:paraId="6757FC85" w14:textId="77777777" w:rsidTr="002673B7">
        <w:trPr>
          <w:trHeight w:val="300"/>
        </w:trPr>
        <w:tc>
          <w:tcPr>
            <w:tcW w:w="1440" w:type="dxa"/>
            <w:shd w:val="clear" w:color="auto" w:fill="auto"/>
            <w:noWrap/>
            <w:vAlign w:val="bottom"/>
            <w:hideMark/>
          </w:tcPr>
          <w:p w14:paraId="302C6510" w14:textId="77777777" w:rsidR="00CF3EDF" w:rsidRPr="00CF3EDF" w:rsidRDefault="00CF3EDF" w:rsidP="00CF3EDF">
            <w:pPr>
              <w:jc w:val="right"/>
              <w:rPr>
                <w:rFonts w:asciiTheme="minorHAnsi" w:hAnsiTheme="minorHAnsi" w:cstheme="minorHAnsi"/>
                <w:b/>
                <w:bCs/>
                <w:color w:val="000000"/>
                <w:sz w:val="20"/>
              </w:rPr>
            </w:pPr>
            <w:r w:rsidRPr="00CF3EDF">
              <w:rPr>
                <w:rFonts w:asciiTheme="minorHAnsi" w:hAnsiTheme="minorHAnsi" w:cstheme="minorHAnsi"/>
                <w:b/>
                <w:bCs/>
                <w:color w:val="000000"/>
                <w:sz w:val="20"/>
              </w:rPr>
              <w:t>General Score</w:t>
            </w:r>
          </w:p>
        </w:tc>
        <w:tc>
          <w:tcPr>
            <w:tcW w:w="982" w:type="dxa"/>
            <w:shd w:val="clear" w:color="000000" w:fill="BFBFBF"/>
            <w:noWrap/>
            <w:vAlign w:val="bottom"/>
            <w:hideMark/>
          </w:tcPr>
          <w:p w14:paraId="322DF5BF" w14:textId="77777777" w:rsidR="00CF3EDF" w:rsidRPr="00CF3EDF" w:rsidRDefault="00CF3EDF" w:rsidP="00CF3EDF">
            <w:pPr>
              <w:jc w:val="center"/>
              <w:rPr>
                <w:rFonts w:asciiTheme="minorHAnsi" w:hAnsiTheme="minorHAnsi" w:cstheme="minorHAnsi"/>
                <w:color w:val="000000"/>
                <w:sz w:val="20"/>
              </w:rPr>
            </w:pPr>
            <w:r w:rsidRPr="00CF3EDF">
              <w:rPr>
                <w:rFonts w:asciiTheme="minorHAnsi" w:hAnsiTheme="minorHAnsi" w:cstheme="minorHAnsi"/>
                <w:color w:val="000000"/>
                <w:sz w:val="20"/>
              </w:rPr>
              <w:t>169.41</w:t>
            </w:r>
          </w:p>
        </w:tc>
        <w:tc>
          <w:tcPr>
            <w:tcW w:w="1082" w:type="dxa"/>
            <w:shd w:val="clear" w:color="000000" w:fill="BFBFBF"/>
            <w:noWrap/>
            <w:vAlign w:val="center"/>
            <w:hideMark/>
          </w:tcPr>
          <w:p w14:paraId="28397F8C" w14:textId="77777777" w:rsidR="00CF3EDF" w:rsidRPr="00CF3EDF" w:rsidRDefault="00CF3EDF" w:rsidP="00F1700F">
            <w:pPr>
              <w:ind w:left="-107" w:right="-23"/>
              <w:jc w:val="center"/>
              <w:rPr>
                <w:rFonts w:asciiTheme="minorHAnsi" w:hAnsiTheme="minorHAnsi" w:cstheme="minorHAnsi"/>
                <w:color w:val="000000"/>
                <w:sz w:val="20"/>
              </w:rPr>
            </w:pPr>
            <w:r w:rsidRPr="00CF3EDF">
              <w:rPr>
                <w:rFonts w:asciiTheme="minorHAnsi" w:hAnsiTheme="minorHAnsi" w:cstheme="minorHAnsi"/>
                <w:color w:val="000000"/>
                <w:sz w:val="20"/>
              </w:rPr>
              <w:t>209.41</w:t>
            </w:r>
          </w:p>
        </w:tc>
        <w:tc>
          <w:tcPr>
            <w:tcW w:w="1098" w:type="dxa"/>
            <w:shd w:val="clear" w:color="000000" w:fill="D9E1F2"/>
            <w:noWrap/>
            <w:vAlign w:val="bottom"/>
            <w:hideMark/>
          </w:tcPr>
          <w:p w14:paraId="40DEEB8F" w14:textId="77777777" w:rsidR="00CF3EDF" w:rsidRPr="00CF3EDF" w:rsidRDefault="00CF3EDF" w:rsidP="00F1700F">
            <w:pPr>
              <w:ind w:left="-117"/>
              <w:jc w:val="center"/>
              <w:rPr>
                <w:rFonts w:asciiTheme="minorHAnsi" w:hAnsiTheme="minorHAnsi" w:cstheme="minorHAnsi"/>
                <w:color w:val="000000"/>
                <w:sz w:val="20"/>
              </w:rPr>
            </w:pPr>
            <w:r w:rsidRPr="00CF3EDF">
              <w:rPr>
                <w:rFonts w:asciiTheme="minorHAnsi" w:hAnsiTheme="minorHAnsi" w:cstheme="minorHAnsi"/>
                <w:color w:val="000000"/>
                <w:sz w:val="20"/>
              </w:rPr>
              <w:t>210.00</w:t>
            </w:r>
          </w:p>
        </w:tc>
        <w:tc>
          <w:tcPr>
            <w:tcW w:w="774" w:type="dxa"/>
            <w:shd w:val="clear" w:color="000000" w:fill="BFBFBF"/>
            <w:noWrap/>
            <w:vAlign w:val="bottom"/>
            <w:hideMark/>
          </w:tcPr>
          <w:p w14:paraId="42FFB4A6" w14:textId="77777777" w:rsidR="00CF3EDF" w:rsidRPr="00CF3EDF" w:rsidRDefault="00CF3EDF" w:rsidP="00CF3EDF">
            <w:pPr>
              <w:jc w:val="center"/>
              <w:rPr>
                <w:rFonts w:asciiTheme="minorHAnsi" w:hAnsiTheme="minorHAnsi" w:cstheme="minorHAnsi"/>
                <w:color w:val="000000"/>
                <w:sz w:val="20"/>
              </w:rPr>
            </w:pPr>
            <w:r w:rsidRPr="00CF3EDF">
              <w:rPr>
                <w:rFonts w:asciiTheme="minorHAnsi" w:hAnsiTheme="minorHAnsi" w:cstheme="minorHAnsi"/>
                <w:color w:val="000000"/>
                <w:sz w:val="20"/>
              </w:rPr>
              <w:t>224.12</w:t>
            </w:r>
          </w:p>
        </w:tc>
        <w:tc>
          <w:tcPr>
            <w:tcW w:w="1151" w:type="dxa"/>
            <w:shd w:val="clear" w:color="000000" w:fill="BFBFBF"/>
            <w:noWrap/>
            <w:vAlign w:val="bottom"/>
            <w:hideMark/>
          </w:tcPr>
          <w:p w14:paraId="66C22D21" w14:textId="77777777" w:rsidR="00CF3EDF" w:rsidRPr="00CF3EDF" w:rsidRDefault="00CF3EDF" w:rsidP="00CF3EDF">
            <w:pPr>
              <w:jc w:val="center"/>
              <w:rPr>
                <w:rFonts w:asciiTheme="minorHAnsi" w:hAnsiTheme="minorHAnsi" w:cstheme="minorHAnsi"/>
                <w:color w:val="000000"/>
                <w:sz w:val="20"/>
              </w:rPr>
            </w:pPr>
            <w:r w:rsidRPr="00CF3EDF">
              <w:rPr>
                <w:rFonts w:asciiTheme="minorHAnsi" w:hAnsiTheme="minorHAnsi" w:cstheme="minorHAnsi"/>
                <w:color w:val="000000"/>
                <w:sz w:val="20"/>
              </w:rPr>
              <w:t>182.35</w:t>
            </w:r>
          </w:p>
        </w:tc>
        <w:tc>
          <w:tcPr>
            <w:tcW w:w="888" w:type="dxa"/>
            <w:shd w:val="clear" w:color="000000" w:fill="BFBFBF"/>
            <w:noWrap/>
            <w:vAlign w:val="bottom"/>
            <w:hideMark/>
          </w:tcPr>
          <w:p w14:paraId="424A2940" w14:textId="77777777" w:rsidR="00CF3EDF" w:rsidRPr="00CF3EDF" w:rsidRDefault="00CF3EDF" w:rsidP="00CF3EDF">
            <w:pPr>
              <w:jc w:val="center"/>
              <w:rPr>
                <w:rFonts w:asciiTheme="minorHAnsi" w:hAnsiTheme="minorHAnsi" w:cstheme="minorHAnsi"/>
                <w:color w:val="000000"/>
                <w:sz w:val="20"/>
              </w:rPr>
            </w:pPr>
            <w:r w:rsidRPr="00CF3EDF">
              <w:rPr>
                <w:rFonts w:asciiTheme="minorHAnsi" w:hAnsiTheme="minorHAnsi" w:cstheme="minorHAnsi"/>
                <w:color w:val="000000"/>
                <w:sz w:val="20"/>
              </w:rPr>
              <w:t>193.53</w:t>
            </w:r>
          </w:p>
        </w:tc>
        <w:tc>
          <w:tcPr>
            <w:tcW w:w="1210" w:type="dxa"/>
            <w:shd w:val="clear" w:color="000000" w:fill="BFBFBF"/>
            <w:noWrap/>
            <w:vAlign w:val="bottom"/>
            <w:hideMark/>
          </w:tcPr>
          <w:p w14:paraId="321D430F" w14:textId="77777777" w:rsidR="00CF3EDF" w:rsidRPr="00CF3EDF" w:rsidRDefault="00CF3EDF" w:rsidP="00CF3EDF">
            <w:pPr>
              <w:jc w:val="center"/>
              <w:rPr>
                <w:rFonts w:asciiTheme="minorHAnsi" w:hAnsiTheme="minorHAnsi" w:cstheme="minorHAnsi"/>
                <w:color w:val="000000"/>
                <w:sz w:val="20"/>
              </w:rPr>
            </w:pPr>
            <w:r w:rsidRPr="00CF3EDF">
              <w:rPr>
                <w:rFonts w:asciiTheme="minorHAnsi" w:hAnsiTheme="minorHAnsi" w:cstheme="minorHAnsi"/>
                <w:color w:val="000000"/>
                <w:sz w:val="20"/>
              </w:rPr>
              <w:t>199.41</w:t>
            </w:r>
          </w:p>
        </w:tc>
        <w:tc>
          <w:tcPr>
            <w:tcW w:w="774" w:type="dxa"/>
            <w:shd w:val="clear" w:color="000000" w:fill="BFBFBF"/>
            <w:noWrap/>
            <w:vAlign w:val="bottom"/>
            <w:hideMark/>
          </w:tcPr>
          <w:p w14:paraId="27A262E1" w14:textId="77777777" w:rsidR="00CF3EDF" w:rsidRPr="00CF3EDF" w:rsidRDefault="00CF3EDF" w:rsidP="00CF3EDF">
            <w:pPr>
              <w:jc w:val="center"/>
              <w:rPr>
                <w:rFonts w:asciiTheme="minorHAnsi" w:hAnsiTheme="minorHAnsi" w:cstheme="minorHAnsi"/>
                <w:color w:val="000000"/>
                <w:sz w:val="20"/>
              </w:rPr>
            </w:pPr>
            <w:r w:rsidRPr="00CF3EDF">
              <w:rPr>
                <w:rFonts w:asciiTheme="minorHAnsi" w:hAnsiTheme="minorHAnsi" w:cstheme="minorHAnsi"/>
                <w:color w:val="000000"/>
                <w:sz w:val="20"/>
              </w:rPr>
              <w:t>185.29</w:t>
            </w:r>
          </w:p>
        </w:tc>
        <w:tc>
          <w:tcPr>
            <w:tcW w:w="1406" w:type="dxa"/>
            <w:shd w:val="clear" w:color="000000" w:fill="D9E1F2"/>
            <w:noWrap/>
            <w:vAlign w:val="bottom"/>
            <w:hideMark/>
          </w:tcPr>
          <w:p w14:paraId="1BB80FB5" w14:textId="77777777" w:rsidR="00CF3EDF" w:rsidRPr="00CF3EDF" w:rsidRDefault="00CF3EDF" w:rsidP="00CF3EDF">
            <w:pPr>
              <w:jc w:val="center"/>
              <w:rPr>
                <w:rFonts w:asciiTheme="minorHAnsi" w:hAnsiTheme="minorHAnsi" w:cstheme="minorHAnsi"/>
                <w:color w:val="000000"/>
                <w:sz w:val="20"/>
              </w:rPr>
            </w:pPr>
            <w:r w:rsidRPr="00CF3EDF">
              <w:rPr>
                <w:rFonts w:asciiTheme="minorHAnsi" w:hAnsiTheme="minorHAnsi" w:cstheme="minorHAnsi"/>
                <w:color w:val="000000"/>
                <w:sz w:val="20"/>
              </w:rPr>
              <w:t>219.41</w:t>
            </w:r>
          </w:p>
        </w:tc>
        <w:tc>
          <w:tcPr>
            <w:tcW w:w="286" w:type="dxa"/>
            <w:shd w:val="clear" w:color="000000" w:fill="BFBFBF"/>
            <w:noWrap/>
            <w:vAlign w:val="bottom"/>
            <w:hideMark/>
          </w:tcPr>
          <w:p w14:paraId="7F3F4E8B" w14:textId="77777777" w:rsidR="00CF3EDF" w:rsidRPr="00CF3EDF" w:rsidRDefault="00CF3EDF" w:rsidP="00CF3EDF">
            <w:pPr>
              <w:jc w:val="center"/>
              <w:rPr>
                <w:rFonts w:asciiTheme="minorHAnsi" w:hAnsiTheme="minorHAnsi" w:cstheme="minorHAnsi"/>
                <w:color w:val="000000"/>
                <w:sz w:val="20"/>
              </w:rPr>
            </w:pPr>
            <w:r w:rsidRPr="00CF3EDF">
              <w:rPr>
                <w:rFonts w:asciiTheme="minorHAnsi" w:hAnsiTheme="minorHAnsi" w:cstheme="minorHAnsi"/>
                <w:color w:val="000000"/>
                <w:sz w:val="20"/>
              </w:rPr>
              <w:t>215.88</w:t>
            </w:r>
          </w:p>
        </w:tc>
        <w:tc>
          <w:tcPr>
            <w:tcW w:w="1514" w:type="dxa"/>
            <w:shd w:val="clear" w:color="000000" w:fill="BFBFBF"/>
            <w:noWrap/>
            <w:vAlign w:val="bottom"/>
            <w:hideMark/>
          </w:tcPr>
          <w:p w14:paraId="3AB528C0" w14:textId="77777777" w:rsidR="00CF3EDF" w:rsidRPr="00CF3EDF" w:rsidRDefault="00CF3EDF" w:rsidP="00CF3EDF">
            <w:pPr>
              <w:jc w:val="center"/>
              <w:rPr>
                <w:rFonts w:asciiTheme="minorHAnsi" w:hAnsiTheme="minorHAnsi" w:cstheme="minorHAnsi"/>
                <w:color w:val="000000"/>
                <w:sz w:val="20"/>
              </w:rPr>
            </w:pPr>
            <w:r w:rsidRPr="00CF3EDF">
              <w:rPr>
                <w:rFonts w:asciiTheme="minorHAnsi" w:hAnsiTheme="minorHAnsi" w:cstheme="minorHAnsi"/>
                <w:color w:val="000000"/>
                <w:sz w:val="20"/>
              </w:rPr>
              <w:t>204.71</w:t>
            </w:r>
          </w:p>
        </w:tc>
        <w:tc>
          <w:tcPr>
            <w:tcW w:w="774" w:type="dxa"/>
            <w:shd w:val="clear" w:color="000000" w:fill="D9E1F2"/>
            <w:noWrap/>
            <w:vAlign w:val="bottom"/>
            <w:hideMark/>
          </w:tcPr>
          <w:p w14:paraId="52E92A23" w14:textId="77777777" w:rsidR="00CF3EDF" w:rsidRPr="00CF3EDF" w:rsidRDefault="00CF3EDF" w:rsidP="00CF3EDF">
            <w:pPr>
              <w:jc w:val="center"/>
              <w:rPr>
                <w:rFonts w:asciiTheme="minorHAnsi" w:hAnsiTheme="minorHAnsi" w:cstheme="minorHAnsi"/>
                <w:color w:val="000000"/>
                <w:sz w:val="20"/>
              </w:rPr>
            </w:pPr>
            <w:r w:rsidRPr="00CF3EDF">
              <w:rPr>
                <w:rFonts w:asciiTheme="minorHAnsi" w:hAnsiTheme="minorHAnsi" w:cstheme="minorHAnsi"/>
                <w:color w:val="000000"/>
                <w:sz w:val="20"/>
              </w:rPr>
              <w:t>208.82</w:t>
            </w:r>
          </w:p>
        </w:tc>
        <w:tc>
          <w:tcPr>
            <w:tcW w:w="882" w:type="dxa"/>
            <w:shd w:val="clear" w:color="000000" w:fill="BFBFBF"/>
            <w:noWrap/>
            <w:vAlign w:val="bottom"/>
            <w:hideMark/>
          </w:tcPr>
          <w:p w14:paraId="56025921" w14:textId="77777777" w:rsidR="00CF3EDF" w:rsidRPr="00CF3EDF" w:rsidRDefault="00CF3EDF" w:rsidP="00CF3EDF">
            <w:pPr>
              <w:jc w:val="center"/>
              <w:rPr>
                <w:rFonts w:asciiTheme="minorHAnsi" w:hAnsiTheme="minorHAnsi" w:cstheme="minorHAnsi"/>
                <w:color w:val="000000"/>
                <w:sz w:val="20"/>
              </w:rPr>
            </w:pPr>
            <w:r w:rsidRPr="00CF3EDF">
              <w:rPr>
                <w:rFonts w:asciiTheme="minorHAnsi" w:hAnsiTheme="minorHAnsi" w:cstheme="minorHAnsi"/>
                <w:color w:val="000000"/>
                <w:sz w:val="20"/>
              </w:rPr>
              <w:t>190.00</w:t>
            </w:r>
          </w:p>
        </w:tc>
        <w:tc>
          <w:tcPr>
            <w:tcW w:w="1064" w:type="dxa"/>
            <w:shd w:val="clear" w:color="000000" w:fill="BFBFBF"/>
            <w:noWrap/>
            <w:vAlign w:val="bottom"/>
            <w:hideMark/>
          </w:tcPr>
          <w:p w14:paraId="33222DB7" w14:textId="77777777" w:rsidR="00CF3EDF" w:rsidRPr="00CF3EDF" w:rsidRDefault="00CF3EDF" w:rsidP="00CF3EDF">
            <w:pPr>
              <w:jc w:val="right"/>
              <w:rPr>
                <w:rFonts w:asciiTheme="minorHAnsi" w:hAnsiTheme="minorHAnsi" w:cstheme="minorHAnsi"/>
                <w:color w:val="000000"/>
                <w:sz w:val="20"/>
              </w:rPr>
            </w:pPr>
            <w:r w:rsidRPr="00CF3EDF">
              <w:rPr>
                <w:rFonts w:asciiTheme="minorHAnsi" w:hAnsiTheme="minorHAnsi" w:cstheme="minorHAnsi"/>
                <w:color w:val="000000"/>
                <w:sz w:val="20"/>
              </w:rPr>
              <w:t>211.18</w:t>
            </w:r>
          </w:p>
        </w:tc>
        <w:tc>
          <w:tcPr>
            <w:tcW w:w="1868" w:type="dxa"/>
            <w:shd w:val="clear" w:color="000000" w:fill="D9E1F2"/>
            <w:noWrap/>
            <w:vAlign w:val="bottom"/>
            <w:hideMark/>
          </w:tcPr>
          <w:p w14:paraId="4140A072" w14:textId="77777777" w:rsidR="00CF3EDF" w:rsidRPr="00CF3EDF" w:rsidRDefault="00CF3EDF" w:rsidP="00CF3EDF">
            <w:pPr>
              <w:jc w:val="center"/>
              <w:rPr>
                <w:rFonts w:asciiTheme="minorHAnsi" w:hAnsiTheme="minorHAnsi" w:cstheme="minorHAnsi"/>
                <w:color w:val="000000"/>
                <w:sz w:val="20"/>
              </w:rPr>
            </w:pPr>
            <w:r w:rsidRPr="00CF3EDF">
              <w:rPr>
                <w:rFonts w:asciiTheme="minorHAnsi" w:hAnsiTheme="minorHAnsi" w:cstheme="minorHAnsi"/>
                <w:color w:val="000000"/>
                <w:sz w:val="20"/>
              </w:rPr>
              <w:t>228.24</w:t>
            </w:r>
          </w:p>
        </w:tc>
      </w:tr>
      <w:tr w:rsidR="00AE0421" w:rsidRPr="00261318" w14:paraId="07748009" w14:textId="77777777" w:rsidTr="002673B7">
        <w:trPr>
          <w:trHeight w:val="300"/>
        </w:trPr>
        <w:tc>
          <w:tcPr>
            <w:tcW w:w="1440" w:type="dxa"/>
            <w:shd w:val="clear" w:color="auto" w:fill="auto"/>
            <w:noWrap/>
            <w:vAlign w:val="bottom"/>
            <w:hideMark/>
          </w:tcPr>
          <w:p w14:paraId="357F629E" w14:textId="50A1DCBD" w:rsidR="00CF3EDF" w:rsidRPr="00CF3EDF" w:rsidRDefault="00CF3EDF" w:rsidP="00CF3EDF">
            <w:pPr>
              <w:jc w:val="right"/>
              <w:rPr>
                <w:rFonts w:asciiTheme="minorHAnsi" w:hAnsiTheme="minorHAnsi" w:cstheme="minorHAnsi"/>
                <w:b/>
                <w:bCs/>
                <w:color w:val="000000"/>
                <w:sz w:val="20"/>
              </w:rPr>
            </w:pPr>
            <w:proofErr w:type="spellStart"/>
            <w:r w:rsidRPr="00CF3EDF">
              <w:rPr>
                <w:rFonts w:asciiTheme="minorHAnsi" w:hAnsiTheme="minorHAnsi" w:cstheme="minorHAnsi"/>
                <w:b/>
                <w:bCs/>
                <w:color w:val="000000"/>
                <w:sz w:val="20"/>
              </w:rPr>
              <w:t>Techl</w:t>
            </w:r>
            <w:proofErr w:type="spellEnd"/>
            <w:r w:rsidRPr="00CF3EDF">
              <w:rPr>
                <w:rFonts w:asciiTheme="minorHAnsi" w:hAnsiTheme="minorHAnsi" w:cstheme="minorHAnsi"/>
                <w:b/>
                <w:bCs/>
                <w:color w:val="000000"/>
                <w:sz w:val="20"/>
              </w:rPr>
              <w:t xml:space="preserve"> Score</w:t>
            </w:r>
          </w:p>
        </w:tc>
        <w:tc>
          <w:tcPr>
            <w:tcW w:w="982" w:type="dxa"/>
            <w:shd w:val="clear" w:color="000000" w:fill="BFBFBF"/>
            <w:noWrap/>
            <w:vAlign w:val="bottom"/>
            <w:hideMark/>
          </w:tcPr>
          <w:p w14:paraId="72F71B3E" w14:textId="77777777" w:rsidR="00CF3EDF" w:rsidRPr="00CF3EDF" w:rsidRDefault="00CF3EDF" w:rsidP="00CF3EDF">
            <w:pPr>
              <w:jc w:val="center"/>
              <w:rPr>
                <w:rFonts w:asciiTheme="minorHAnsi" w:hAnsiTheme="minorHAnsi" w:cstheme="minorHAnsi"/>
                <w:color w:val="000000"/>
                <w:sz w:val="20"/>
                <w:u w:val="single"/>
              </w:rPr>
            </w:pPr>
            <w:r w:rsidRPr="00CF3EDF">
              <w:rPr>
                <w:rFonts w:asciiTheme="minorHAnsi" w:hAnsiTheme="minorHAnsi" w:cstheme="minorHAnsi"/>
                <w:color w:val="000000"/>
                <w:sz w:val="20"/>
                <w:u w:val="single"/>
              </w:rPr>
              <w:t>101.79</w:t>
            </w:r>
          </w:p>
        </w:tc>
        <w:tc>
          <w:tcPr>
            <w:tcW w:w="1082" w:type="dxa"/>
            <w:shd w:val="clear" w:color="000000" w:fill="BFBFBF"/>
            <w:noWrap/>
            <w:vAlign w:val="center"/>
            <w:hideMark/>
          </w:tcPr>
          <w:p w14:paraId="0CDCFD2E" w14:textId="77777777" w:rsidR="00CF3EDF" w:rsidRPr="00CF3EDF" w:rsidRDefault="00CF3EDF" w:rsidP="00F1700F">
            <w:pPr>
              <w:ind w:left="-107" w:right="-23"/>
              <w:jc w:val="center"/>
              <w:rPr>
                <w:rFonts w:asciiTheme="minorHAnsi" w:hAnsiTheme="minorHAnsi" w:cstheme="minorHAnsi"/>
                <w:color w:val="000000"/>
                <w:sz w:val="20"/>
                <w:u w:val="single"/>
              </w:rPr>
            </w:pPr>
            <w:r w:rsidRPr="00CF3EDF">
              <w:rPr>
                <w:rFonts w:asciiTheme="minorHAnsi" w:hAnsiTheme="minorHAnsi" w:cstheme="minorHAnsi"/>
                <w:color w:val="000000"/>
                <w:sz w:val="20"/>
                <w:u w:val="single"/>
              </w:rPr>
              <w:t>298.57</w:t>
            </w:r>
          </w:p>
        </w:tc>
        <w:tc>
          <w:tcPr>
            <w:tcW w:w="1098" w:type="dxa"/>
            <w:shd w:val="clear" w:color="000000" w:fill="D9E1F2"/>
            <w:noWrap/>
            <w:vAlign w:val="bottom"/>
            <w:hideMark/>
          </w:tcPr>
          <w:p w14:paraId="14E997AB" w14:textId="77777777" w:rsidR="00CF3EDF" w:rsidRPr="00CF3EDF" w:rsidRDefault="00CF3EDF" w:rsidP="00F1700F">
            <w:pPr>
              <w:ind w:left="-117"/>
              <w:jc w:val="center"/>
              <w:rPr>
                <w:rFonts w:asciiTheme="minorHAnsi" w:hAnsiTheme="minorHAnsi" w:cstheme="minorHAnsi"/>
                <w:color w:val="000000"/>
                <w:sz w:val="20"/>
                <w:u w:val="single"/>
              </w:rPr>
            </w:pPr>
            <w:r w:rsidRPr="00CF3EDF">
              <w:rPr>
                <w:rFonts w:asciiTheme="minorHAnsi" w:hAnsiTheme="minorHAnsi" w:cstheme="minorHAnsi"/>
                <w:color w:val="000000"/>
                <w:sz w:val="20"/>
                <w:u w:val="single"/>
              </w:rPr>
              <w:t>331.54</w:t>
            </w:r>
          </w:p>
        </w:tc>
        <w:tc>
          <w:tcPr>
            <w:tcW w:w="774" w:type="dxa"/>
            <w:shd w:val="clear" w:color="000000" w:fill="BFBFBF"/>
            <w:noWrap/>
            <w:vAlign w:val="bottom"/>
            <w:hideMark/>
          </w:tcPr>
          <w:p w14:paraId="606C394F" w14:textId="77777777" w:rsidR="00CF3EDF" w:rsidRPr="00CF3EDF" w:rsidRDefault="00CF3EDF" w:rsidP="00CF3EDF">
            <w:pPr>
              <w:jc w:val="center"/>
              <w:rPr>
                <w:rFonts w:asciiTheme="minorHAnsi" w:hAnsiTheme="minorHAnsi" w:cstheme="minorHAnsi"/>
                <w:color w:val="000000"/>
                <w:sz w:val="20"/>
                <w:u w:val="single"/>
              </w:rPr>
            </w:pPr>
            <w:r w:rsidRPr="00CF3EDF">
              <w:rPr>
                <w:rFonts w:asciiTheme="minorHAnsi" w:hAnsiTheme="minorHAnsi" w:cstheme="minorHAnsi"/>
                <w:color w:val="000000"/>
                <w:sz w:val="20"/>
                <w:u w:val="single"/>
              </w:rPr>
              <w:t>300.36</w:t>
            </w:r>
          </w:p>
        </w:tc>
        <w:tc>
          <w:tcPr>
            <w:tcW w:w="1151" w:type="dxa"/>
            <w:shd w:val="clear" w:color="000000" w:fill="BFBFBF"/>
            <w:noWrap/>
            <w:vAlign w:val="bottom"/>
            <w:hideMark/>
          </w:tcPr>
          <w:p w14:paraId="32DF82C3" w14:textId="77777777" w:rsidR="00CF3EDF" w:rsidRPr="00CF3EDF" w:rsidRDefault="00CF3EDF" w:rsidP="00CF3EDF">
            <w:pPr>
              <w:jc w:val="center"/>
              <w:rPr>
                <w:rFonts w:asciiTheme="minorHAnsi" w:hAnsiTheme="minorHAnsi" w:cstheme="minorHAnsi"/>
                <w:color w:val="000000"/>
                <w:sz w:val="20"/>
                <w:u w:val="single"/>
              </w:rPr>
            </w:pPr>
            <w:r w:rsidRPr="00CF3EDF">
              <w:rPr>
                <w:rFonts w:asciiTheme="minorHAnsi" w:hAnsiTheme="minorHAnsi" w:cstheme="minorHAnsi"/>
                <w:color w:val="000000"/>
                <w:sz w:val="20"/>
                <w:u w:val="single"/>
              </w:rPr>
              <w:t>250.90</w:t>
            </w:r>
          </w:p>
        </w:tc>
        <w:tc>
          <w:tcPr>
            <w:tcW w:w="888" w:type="dxa"/>
            <w:shd w:val="clear" w:color="000000" w:fill="BFBFBF"/>
            <w:noWrap/>
            <w:vAlign w:val="bottom"/>
            <w:hideMark/>
          </w:tcPr>
          <w:p w14:paraId="43A83E5E" w14:textId="77777777" w:rsidR="00CF3EDF" w:rsidRPr="00CF3EDF" w:rsidRDefault="00CF3EDF" w:rsidP="00CF3EDF">
            <w:pPr>
              <w:jc w:val="center"/>
              <w:rPr>
                <w:rFonts w:asciiTheme="minorHAnsi" w:hAnsiTheme="minorHAnsi" w:cstheme="minorHAnsi"/>
                <w:color w:val="000000"/>
                <w:sz w:val="20"/>
                <w:u w:val="single"/>
              </w:rPr>
            </w:pPr>
            <w:r w:rsidRPr="00CF3EDF">
              <w:rPr>
                <w:rFonts w:asciiTheme="minorHAnsi" w:hAnsiTheme="minorHAnsi" w:cstheme="minorHAnsi"/>
                <w:color w:val="000000"/>
                <w:sz w:val="20"/>
                <w:u w:val="single"/>
              </w:rPr>
              <w:t>239.07</w:t>
            </w:r>
          </w:p>
        </w:tc>
        <w:tc>
          <w:tcPr>
            <w:tcW w:w="1210" w:type="dxa"/>
            <w:shd w:val="clear" w:color="000000" w:fill="BFBFBF"/>
            <w:noWrap/>
            <w:vAlign w:val="bottom"/>
            <w:hideMark/>
          </w:tcPr>
          <w:p w14:paraId="286D7996" w14:textId="77777777" w:rsidR="00CF3EDF" w:rsidRPr="00CF3EDF" w:rsidRDefault="00CF3EDF" w:rsidP="00CF3EDF">
            <w:pPr>
              <w:jc w:val="center"/>
              <w:rPr>
                <w:rFonts w:asciiTheme="minorHAnsi" w:hAnsiTheme="minorHAnsi" w:cstheme="minorHAnsi"/>
                <w:color w:val="000000"/>
                <w:sz w:val="20"/>
                <w:u w:val="single"/>
              </w:rPr>
            </w:pPr>
            <w:r w:rsidRPr="00CF3EDF">
              <w:rPr>
                <w:rFonts w:asciiTheme="minorHAnsi" w:hAnsiTheme="minorHAnsi" w:cstheme="minorHAnsi"/>
                <w:color w:val="000000"/>
                <w:sz w:val="20"/>
                <w:u w:val="single"/>
              </w:rPr>
              <w:t>308.60</w:t>
            </w:r>
          </w:p>
        </w:tc>
        <w:tc>
          <w:tcPr>
            <w:tcW w:w="774" w:type="dxa"/>
            <w:shd w:val="clear" w:color="000000" w:fill="BFBFBF"/>
            <w:noWrap/>
            <w:vAlign w:val="bottom"/>
            <w:hideMark/>
          </w:tcPr>
          <w:p w14:paraId="0ADE3661" w14:textId="77777777" w:rsidR="00CF3EDF" w:rsidRPr="00CF3EDF" w:rsidRDefault="00CF3EDF" w:rsidP="00CF3EDF">
            <w:pPr>
              <w:jc w:val="center"/>
              <w:rPr>
                <w:rFonts w:asciiTheme="minorHAnsi" w:hAnsiTheme="minorHAnsi" w:cstheme="minorHAnsi"/>
                <w:color w:val="000000"/>
                <w:sz w:val="20"/>
                <w:u w:val="single"/>
              </w:rPr>
            </w:pPr>
            <w:r w:rsidRPr="00CF3EDF">
              <w:rPr>
                <w:rFonts w:asciiTheme="minorHAnsi" w:hAnsiTheme="minorHAnsi" w:cstheme="minorHAnsi"/>
                <w:color w:val="000000"/>
                <w:sz w:val="20"/>
                <w:u w:val="single"/>
              </w:rPr>
              <w:t>291.40</w:t>
            </w:r>
          </w:p>
        </w:tc>
        <w:tc>
          <w:tcPr>
            <w:tcW w:w="1406" w:type="dxa"/>
            <w:shd w:val="clear" w:color="000000" w:fill="D9E1F2"/>
            <w:noWrap/>
            <w:vAlign w:val="bottom"/>
            <w:hideMark/>
          </w:tcPr>
          <w:p w14:paraId="09D8D446" w14:textId="77777777" w:rsidR="00CF3EDF" w:rsidRPr="00CF3EDF" w:rsidRDefault="00CF3EDF" w:rsidP="00CF3EDF">
            <w:pPr>
              <w:jc w:val="center"/>
              <w:rPr>
                <w:rFonts w:asciiTheme="minorHAnsi" w:hAnsiTheme="minorHAnsi" w:cstheme="minorHAnsi"/>
                <w:color w:val="000000"/>
                <w:sz w:val="20"/>
                <w:u w:val="single"/>
              </w:rPr>
            </w:pPr>
            <w:r w:rsidRPr="00CF3EDF">
              <w:rPr>
                <w:rFonts w:asciiTheme="minorHAnsi" w:hAnsiTheme="minorHAnsi" w:cstheme="minorHAnsi"/>
                <w:color w:val="000000"/>
                <w:sz w:val="20"/>
                <w:u w:val="single"/>
              </w:rPr>
              <w:t>333.33</w:t>
            </w:r>
          </w:p>
        </w:tc>
        <w:tc>
          <w:tcPr>
            <w:tcW w:w="286" w:type="dxa"/>
            <w:shd w:val="clear" w:color="000000" w:fill="BFBFBF"/>
            <w:noWrap/>
            <w:vAlign w:val="bottom"/>
            <w:hideMark/>
          </w:tcPr>
          <w:p w14:paraId="5E543B46" w14:textId="77777777" w:rsidR="00CF3EDF" w:rsidRPr="00CF3EDF" w:rsidRDefault="00CF3EDF" w:rsidP="00CF3EDF">
            <w:pPr>
              <w:jc w:val="center"/>
              <w:rPr>
                <w:rFonts w:asciiTheme="minorHAnsi" w:hAnsiTheme="minorHAnsi" w:cstheme="minorHAnsi"/>
                <w:color w:val="000000"/>
                <w:sz w:val="20"/>
                <w:u w:val="single"/>
              </w:rPr>
            </w:pPr>
            <w:r w:rsidRPr="00CF3EDF">
              <w:rPr>
                <w:rFonts w:asciiTheme="minorHAnsi" w:hAnsiTheme="minorHAnsi" w:cstheme="minorHAnsi"/>
                <w:color w:val="000000"/>
                <w:sz w:val="20"/>
                <w:u w:val="single"/>
              </w:rPr>
              <w:t>311.83</w:t>
            </w:r>
          </w:p>
        </w:tc>
        <w:tc>
          <w:tcPr>
            <w:tcW w:w="1514" w:type="dxa"/>
            <w:shd w:val="clear" w:color="000000" w:fill="BFBFBF"/>
            <w:noWrap/>
            <w:vAlign w:val="bottom"/>
            <w:hideMark/>
          </w:tcPr>
          <w:p w14:paraId="6072CEF5" w14:textId="77777777" w:rsidR="00CF3EDF" w:rsidRPr="00CF3EDF" w:rsidRDefault="00CF3EDF" w:rsidP="00CF3EDF">
            <w:pPr>
              <w:jc w:val="center"/>
              <w:rPr>
                <w:rFonts w:asciiTheme="minorHAnsi" w:hAnsiTheme="minorHAnsi" w:cstheme="minorHAnsi"/>
                <w:color w:val="000000"/>
                <w:sz w:val="20"/>
                <w:u w:val="single"/>
              </w:rPr>
            </w:pPr>
            <w:r w:rsidRPr="00CF3EDF">
              <w:rPr>
                <w:rFonts w:asciiTheme="minorHAnsi" w:hAnsiTheme="minorHAnsi" w:cstheme="minorHAnsi"/>
                <w:color w:val="000000"/>
                <w:sz w:val="20"/>
                <w:u w:val="single"/>
              </w:rPr>
              <w:t>249.10</w:t>
            </w:r>
          </w:p>
        </w:tc>
        <w:tc>
          <w:tcPr>
            <w:tcW w:w="774" w:type="dxa"/>
            <w:shd w:val="clear" w:color="000000" w:fill="D9E1F2"/>
            <w:noWrap/>
            <w:vAlign w:val="bottom"/>
            <w:hideMark/>
          </w:tcPr>
          <w:p w14:paraId="2F7A87BD" w14:textId="77777777" w:rsidR="00CF3EDF" w:rsidRPr="00CF3EDF" w:rsidRDefault="00CF3EDF" w:rsidP="00CF3EDF">
            <w:pPr>
              <w:jc w:val="center"/>
              <w:rPr>
                <w:rFonts w:asciiTheme="minorHAnsi" w:hAnsiTheme="minorHAnsi" w:cstheme="minorHAnsi"/>
                <w:color w:val="000000"/>
                <w:sz w:val="20"/>
                <w:u w:val="single"/>
              </w:rPr>
            </w:pPr>
            <w:r w:rsidRPr="00CF3EDF">
              <w:rPr>
                <w:rFonts w:asciiTheme="minorHAnsi" w:hAnsiTheme="minorHAnsi" w:cstheme="minorHAnsi"/>
                <w:color w:val="000000"/>
                <w:sz w:val="20"/>
                <w:u w:val="single"/>
              </w:rPr>
              <w:t>349.10</w:t>
            </w:r>
          </w:p>
        </w:tc>
        <w:tc>
          <w:tcPr>
            <w:tcW w:w="882" w:type="dxa"/>
            <w:shd w:val="clear" w:color="000000" w:fill="BFBFBF"/>
            <w:noWrap/>
            <w:vAlign w:val="bottom"/>
            <w:hideMark/>
          </w:tcPr>
          <w:p w14:paraId="0AB6255F" w14:textId="77777777" w:rsidR="00CF3EDF" w:rsidRPr="00CF3EDF" w:rsidRDefault="00CF3EDF" w:rsidP="00CF3EDF">
            <w:pPr>
              <w:jc w:val="center"/>
              <w:rPr>
                <w:rFonts w:asciiTheme="minorHAnsi" w:hAnsiTheme="minorHAnsi" w:cstheme="minorHAnsi"/>
                <w:color w:val="000000"/>
                <w:sz w:val="20"/>
                <w:u w:val="single"/>
              </w:rPr>
            </w:pPr>
            <w:r w:rsidRPr="00CF3EDF">
              <w:rPr>
                <w:rFonts w:asciiTheme="minorHAnsi" w:hAnsiTheme="minorHAnsi" w:cstheme="minorHAnsi"/>
                <w:color w:val="000000"/>
                <w:sz w:val="20"/>
                <w:u w:val="single"/>
              </w:rPr>
              <w:t>256.99</w:t>
            </w:r>
          </w:p>
        </w:tc>
        <w:tc>
          <w:tcPr>
            <w:tcW w:w="1064" w:type="dxa"/>
            <w:shd w:val="clear" w:color="000000" w:fill="BFBFBF"/>
            <w:noWrap/>
            <w:vAlign w:val="bottom"/>
            <w:hideMark/>
          </w:tcPr>
          <w:p w14:paraId="08C45A79" w14:textId="77777777" w:rsidR="00CF3EDF" w:rsidRPr="00CF3EDF" w:rsidRDefault="00CF3EDF" w:rsidP="00CF3EDF">
            <w:pPr>
              <w:jc w:val="right"/>
              <w:rPr>
                <w:rFonts w:asciiTheme="minorHAnsi" w:hAnsiTheme="minorHAnsi" w:cstheme="minorHAnsi"/>
                <w:color w:val="000000"/>
                <w:sz w:val="20"/>
              </w:rPr>
            </w:pPr>
            <w:r w:rsidRPr="00CF3EDF">
              <w:rPr>
                <w:rFonts w:asciiTheme="minorHAnsi" w:hAnsiTheme="minorHAnsi" w:cstheme="minorHAnsi"/>
                <w:color w:val="000000"/>
                <w:sz w:val="20"/>
              </w:rPr>
              <w:t>282.80</w:t>
            </w:r>
          </w:p>
        </w:tc>
        <w:tc>
          <w:tcPr>
            <w:tcW w:w="1868" w:type="dxa"/>
            <w:shd w:val="clear" w:color="000000" w:fill="D9E1F2"/>
            <w:noWrap/>
            <w:vAlign w:val="bottom"/>
            <w:hideMark/>
          </w:tcPr>
          <w:p w14:paraId="6FCF86D5" w14:textId="77777777" w:rsidR="00CF3EDF" w:rsidRPr="00CF3EDF" w:rsidRDefault="00CF3EDF" w:rsidP="00CF3EDF">
            <w:pPr>
              <w:jc w:val="center"/>
              <w:rPr>
                <w:rFonts w:asciiTheme="minorHAnsi" w:hAnsiTheme="minorHAnsi" w:cstheme="minorHAnsi"/>
                <w:color w:val="000000"/>
                <w:sz w:val="20"/>
              </w:rPr>
            </w:pPr>
            <w:r w:rsidRPr="00CF3EDF">
              <w:rPr>
                <w:rFonts w:asciiTheme="minorHAnsi" w:hAnsiTheme="minorHAnsi" w:cstheme="minorHAnsi"/>
                <w:color w:val="000000"/>
                <w:sz w:val="20"/>
              </w:rPr>
              <w:t>315.77</w:t>
            </w:r>
          </w:p>
        </w:tc>
      </w:tr>
      <w:tr w:rsidR="00AE0421" w:rsidRPr="00261318" w14:paraId="591AE7B4" w14:textId="77777777" w:rsidTr="002673B7">
        <w:trPr>
          <w:trHeight w:val="300"/>
        </w:trPr>
        <w:tc>
          <w:tcPr>
            <w:tcW w:w="1440" w:type="dxa"/>
            <w:shd w:val="clear" w:color="auto" w:fill="auto"/>
            <w:noWrap/>
            <w:vAlign w:val="bottom"/>
            <w:hideMark/>
          </w:tcPr>
          <w:p w14:paraId="1B60870E" w14:textId="0F1C40F8" w:rsidR="00CF3EDF" w:rsidRPr="00CF3EDF" w:rsidRDefault="00CF3EDF" w:rsidP="00CF3EDF">
            <w:pPr>
              <w:jc w:val="right"/>
              <w:rPr>
                <w:rFonts w:asciiTheme="minorHAnsi" w:hAnsiTheme="minorHAnsi" w:cstheme="minorHAnsi"/>
                <w:b/>
                <w:bCs/>
                <w:color w:val="000000"/>
                <w:sz w:val="20"/>
              </w:rPr>
            </w:pPr>
            <w:r w:rsidRPr="00CF3EDF">
              <w:rPr>
                <w:rFonts w:asciiTheme="minorHAnsi" w:hAnsiTheme="minorHAnsi" w:cstheme="minorHAnsi"/>
                <w:b/>
                <w:bCs/>
                <w:color w:val="000000"/>
                <w:sz w:val="20"/>
              </w:rPr>
              <w:t>Score</w:t>
            </w:r>
          </w:p>
        </w:tc>
        <w:tc>
          <w:tcPr>
            <w:tcW w:w="982" w:type="dxa"/>
            <w:shd w:val="clear" w:color="000000" w:fill="BFBFBF"/>
            <w:noWrap/>
            <w:vAlign w:val="bottom"/>
            <w:hideMark/>
          </w:tcPr>
          <w:p w14:paraId="6129D6E3" w14:textId="77777777" w:rsidR="00CF3EDF" w:rsidRPr="00CF3EDF" w:rsidRDefault="00CF3EDF" w:rsidP="00CF3EDF">
            <w:pPr>
              <w:jc w:val="center"/>
              <w:rPr>
                <w:rFonts w:asciiTheme="minorHAnsi" w:hAnsiTheme="minorHAnsi" w:cstheme="minorHAnsi"/>
                <w:color w:val="000000"/>
                <w:sz w:val="20"/>
              </w:rPr>
            </w:pPr>
            <w:r w:rsidRPr="00CF3EDF">
              <w:rPr>
                <w:rFonts w:asciiTheme="minorHAnsi" w:hAnsiTheme="minorHAnsi" w:cstheme="minorHAnsi"/>
                <w:color w:val="000000"/>
                <w:sz w:val="20"/>
              </w:rPr>
              <w:t>271.20</w:t>
            </w:r>
          </w:p>
        </w:tc>
        <w:tc>
          <w:tcPr>
            <w:tcW w:w="1082" w:type="dxa"/>
            <w:shd w:val="clear" w:color="000000" w:fill="BFBFBF"/>
            <w:noWrap/>
            <w:vAlign w:val="center"/>
            <w:hideMark/>
          </w:tcPr>
          <w:p w14:paraId="1D25A227" w14:textId="77777777" w:rsidR="00CF3EDF" w:rsidRPr="00CF3EDF" w:rsidRDefault="00CF3EDF" w:rsidP="00F1700F">
            <w:pPr>
              <w:ind w:left="-107" w:right="-23"/>
              <w:jc w:val="center"/>
              <w:rPr>
                <w:rFonts w:asciiTheme="minorHAnsi" w:hAnsiTheme="minorHAnsi" w:cstheme="minorHAnsi"/>
                <w:color w:val="000000"/>
                <w:sz w:val="20"/>
              </w:rPr>
            </w:pPr>
            <w:r w:rsidRPr="00CF3EDF">
              <w:rPr>
                <w:rFonts w:asciiTheme="minorHAnsi" w:hAnsiTheme="minorHAnsi" w:cstheme="minorHAnsi"/>
                <w:color w:val="000000"/>
                <w:sz w:val="20"/>
              </w:rPr>
              <w:t>507.98</w:t>
            </w:r>
          </w:p>
        </w:tc>
        <w:tc>
          <w:tcPr>
            <w:tcW w:w="1098" w:type="dxa"/>
            <w:shd w:val="clear" w:color="000000" w:fill="D9E1F2"/>
            <w:noWrap/>
            <w:vAlign w:val="bottom"/>
            <w:hideMark/>
          </w:tcPr>
          <w:p w14:paraId="47CA63EC" w14:textId="77777777" w:rsidR="00CF3EDF" w:rsidRPr="00CF3EDF" w:rsidRDefault="00CF3EDF" w:rsidP="00F1700F">
            <w:pPr>
              <w:ind w:left="-117"/>
              <w:jc w:val="center"/>
              <w:rPr>
                <w:rFonts w:asciiTheme="minorHAnsi" w:hAnsiTheme="minorHAnsi" w:cstheme="minorHAnsi"/>
                <w:b/>
                <w:bCs/>
                <w:color w:val="000000"/>
                <w:sz w:val="20"/>
              </w:rPr>
            </w:pPr>
            <w:r w:rsidRPr="00CF3EDF">
              <w:rPr>
                <w:rFonts w:asciiTheme="minorHAnsi" w:hAnsiTheme="minorHAnsi" w:cstheme="minorHAnsi"/>
                <w:b/>
                <w:bCs/>
                <w:color w:val="000000"/>
                <w:sz w:val="20"/>
              </w:rPr>
              <w:t>541.54</w:t>
            </w:r>
          </w:p>
        </w:tc>
        <w:tc>
          <w:tcPr>
            <w:tcW w:w="774" w:type="dxa"/>
            <w:shd w:val="clear" w:color="000000" w:fill="BFBFBF"/>
            <w:noWrap/>
            <w:vAlign w:val="center"/>
            <w:hideMark/>
          </w:tcPr>
          <w:p w14:paraId="3A681F97" w14:textId="77777777" w:rsidR="00CF3EDF" w:rsidRPr="00CF3EDF" w:rsidRDefault="00CF3EDF" w:rsidP="00CF3EDF">
            <w:pPr>
              <w:jc w:val="center"/>
              <w:rPr>
                <w:rFonts w:asciiTheme="minorHAnsi" w:hAnsiTheme="minorHAnsi" w:cstheme="minorHAnsi"/>
                <w:color w:val="000000"/>
                <w:sz w:val="20"/>
              </w:rPr>
            </w:pPr>
            <w:r w:rsidRPr="00CF3EDF">
              <w:rPr>
                <w:rFonts w:asciiTheme="minorHAnsi" w:hAnsiTheme="minorHAnsi" w:cstheme="minorHAnsi"/>
                <w:color w:val="000000"/>
                <w:sz w:val="20"/>
              </w:rPr>
              <w:t>524.48</w:t>
            </w:r>
          </w:p>
        </w:tc>
        <w:tc>
          <w:tcPr>
            <w:tcW w:w="1151" w:type="dxa"/>
            <w:shd w:val="clear" w:color="000000" w:fill="BFBFBF"/>
            <w:noWrap/>
            <w:vAlign w:val="bottom"/>
            <w:hideMark/>
          </w:tcPr>
          <w:p w14:paraId="4790A8F0" w14:textId="77777777" w:rsidR="00CF3EDF" w:rsidRPr="00CF3EDF" w:rsidRDefault="00CF3EDF" w:rsidP="00CF3EDF">
            <w:pPr>
              <w:jc w:val="center"/>
              <w:rPr>
                <w:rFonts w:asciiTheme="minorHAnsi" w:hAnsiTheme="minorHAnsi" w:cstheme="minorHAnsi"/>
                <w:color w:val="000000"/>
                <w:sz w:val="20"/>
              </w:rPr>
            </w:pPr>
            <w:r w:rsidRPr="00CF3EDF">
              <w:rPr>
                <w:rFonts w:asciiTheme="minorHAnsi" w:hAnsiTheme="minorHAnsi" w:cstheme="minorHAnsi"/>
                <w:color w:val="000000"/>
                <w:sz w:val="20"/>
              </w:rPr>
              <w:t>433.25</w:t>
            </w:r>
          </w:p>
        </w:tc>
        <w:tc>
          <w:tcPr>
            <w:tcW w:w="888" w:type="dxa"/>
            <w:shd w:val="clear" w:color="000000" w:fill="BFBFBF"/>
            <w:noWrap/>
            <w:vAlign w:val="bottom"/>
            <w:hideMark/>
          </w:tcPr>
          <w:p w14:paraId="13ADEB2A" w14:textId="77777777" w:rsidR="00CF3EDF" w:rsidRPr="00CF3EDF" w:rsidRDefault="00CF3EDF" w:rsidP="00CF3EDF">
            <w:pPr>
              <w:jc w:val="center"/>
              <w:rPr>
                <w:rFonts w:asciiTheme="minorHAnsi" w:hAnsiTheme="minorHAnsi" w:cstheme="minorHAnsi"/>
                <w:color w:val="000000"/>
                <w:sz w:val="20"/>
              </w:rPr>
            </w:pPr>
            <w:r w:rsidRPr="00CF3EDF">
              <w:rPr>
                <w:rFonts w:asciiTheme="minorHAnsi" w:hAnsiTheme="minorHAnsi" w:cstheme="minorHAnsi"/>
                <w:color w:val="000000"/>
                <w:sz w:val="20"/>
              </w:rPr>
              <w:t>432.60</w:t>
            </w:r>
          </w:p>
        </w:tc>
        <w:tc>
          <w:tcPr>
            <w:tcW w:w="1210" w:type="dxa"/>
            <w:shd w:val="clear" w:color="000000" w:fill="BFBFBF"/>
            <w:noWrap/>
            <w:vAlign w:val="bottom"/>
            <w:hideMark/>
          </w:tcPr>
          <w:p w14:paraId="122353EC" w14:textId="77777777" w:rsidR="00CF3EDF" w:rsidRPr="00CF3EDF" w:rsidRDefault="00CF3EDF" w:rsidP="00CF3EDF">
            <w:pPr>
              <w:jc w:val="center"/>
              <w:rPr>
                <w:rFonts w:asciiTheme="minorHAnsi" w:hAnsiTheme="minorHAnsi" w:cstheme="minorHAnsi"/>
                <w:color w:val="000000"/>
                <w:sz w:val="20"/>
              </w:rPr>
            </w:pPr>
            <w:r w:rsidRPr="00CF3EDF">
              <w:rPr>
                <w:rFonts w:asciiTheme="minorHAnsi" w:hAnsiTheme="minorHAnsi" w:cstheme="minorHAnsi"/>
                <w:color w:val="000000"/>
                <w:sz w:val="20"/>
              </w:rPr>
              <w:t>508.01</w:t>
            </w:r>
          </w:p>
        </w:tc>
        <w:tc>
          <w:tcPr>
            <w:tcW w:w="774" w:type="dxa"/>
            <w:shd w:val="clear" w:color="000000" w:fill="BFBFBF"/>
            <w:noWrap/>
            <w:vAlign w:val="bottom"/>
            <w:hideMark/>
          </w:tcPr>
          <w:p w14:paraId="705737E8" w14:textId="77777777" w:rsidR="00CF3EDF" w:rsidRPr="00CF3EDF" w:rsidRDefault="00CF3EDF" w:rsidP="00CF3EDF">
            <w:pPr>
              <w:jc w:val="center"/>
              <w:rPr>
                <w:rFonts w:asciiTheme="minorHAnsi" w:hAnsiTheme="minorHAnsi" w:cstheme="minorHAnsi"/>
                <w:color w:val="000000"/>
                <w:sz w:val="20"/>
              </w:rPr>
            </w:pPr>
            <w:r w:rsidRPr="00CF3EDF">
              <w:rPr>
                <w:rFonts w:asciiTheme="minorHAnsi" w:hAnsiTheme="minorHAnsi" w:cstheme="minorHAnsi"/>
                <w:color w:val="000000"/>
                <w:sz w:val="20"/>
              </w:rPr>
              <w:t>476.69</w:t>
            </w:r>
          </w:p>
        </w:tc>
        <w:tc>
          <w:tcPr>
            <w:tcW w:w="1406" w:type="dxa"/>
            <w:shd w:val="clear" w:color="000000" w:fill="D9E1F2"/>
            <w:noWrap/>
            <w:vAlign w:val="bottom"/>
            <w:hideMark/>
          </w:tcPr>
          <w:p w14:paraId="5D08C1CE" w14:textId="77777777" w:rsidR="00CF3EDF" w:rsidRPr="00CF3EDF" w:rsidRDefault="00CF3EDF" w:rsidP="00CF3EDF">
            <w:pPr>
              <w:jc w:val="center"/>
              <w:rPr>
                <w:rFonts w:asciiTheme="minorHAnsi" w:hAnsiTheme="minorHAnsi" w:cstheme="minorHAnsi"/>
                <w:b/>
                <w:bCs/>
                <w:color w:val="000000"/>
                <w:sz w:val="20"/>
              </w:rPr>
            </w:pPr>
            <w:r w:rsidRPr="00CF3EDF">
              <w:rPr>
                <w:rFonts w:asciiTheme="minorHAnsi" w:hAnsiTheme="minorHAnsi" w:cstheme="minorHAnsi"/>
                <w:b/>
                <w:bCs/>
                <w:color w:val="000000"/>
                <w:sz w:val="20"/>
              </w:rPr>
              <w:t>552.75</w:t>
            </w:r>
          </w:p>
        </w:tc>
        <w:tc>
          <w:tcPr>
            <w:tcW w:w="286" w:type="dxa"/>
            <w:shd w:val="clear" w:color="000000" w:fill="BFBFBF"/>
            <w:noWrap/>
            <w:vAlign w:val="bottom"/>
            <w:hideMark/>
          </w:tcPr>
          <w:p w14:paraId="33FFE5DC" w14:textId="77777777" w:rsidR="00CF3EDF" w:rsidRPr="00CF3EDF" w:rsidRDefault="00CF3EDF" w:rsidP="00CF3EDF">
            <w:pPr>
              <w:jc w:val="center"/>
              <w:rPr>
                <w:rFonts w:asciiTheme="minorHAnsi" w:hAnsiTheme="minorHAnsi" w:cstheme="minorHAnsi"/>
                <w:color w:val="000000"/>
                <w:sz w:val="20"/>
              </w:rPr>
            </w:pPr>
            <w:r w:rsidRPr="00CF3EDF">
              <w:rPr>
                <w:rFonts w:asciiTheme="minorHAnsi" w:hAnsiTheme="minorHAnsi" w:cstheme="minorHAnsi"/>
                <w:color w:val="000000"/>
                <w:sz w:val="20"/>
              </w:rPr>
              <w:t>527.71</w:t>
            </w:r>
          </w:p>
        </w:tc>
        <w:tc>
          <w:tcPr>
            <w:tcW w:w="1514" w:type="dxa"/>
            <w:shd w:val="clear" w:color="000000" w:fill="BFBFBF"/>
            <w:noWrap/>
            <w:vAlign w:val="bottom"/>
            <w:hideMark/>
          </w:tcPr>
          <w:p w14:paraId="7B220395" w14:textId="77777777" w:rsidR="00CF3EDF" w:rsidRPr="00CF3EDF" w:rsidRDefault="00CF3EDF" w:rsidP="00CF3EDF">
            <w:pPr>
              <w:jc w:val="center"/>
              <w:rPr>
                <w:rFonts w:asciiTheme="minorHAnsi" w:hAnsiTheme="minorHAnsi" w:cstheme="minorHAnsi"/>
                <w:color w:val="000000"/>
                <w:sz w:val="20"/>
              </w:rPr>
            </w:pPr>
            <w:r w:rsidRPr="00CF3EDF">
              <w:rPr>
                <w:rFonts w:asciiTheme="minorHAnsi" w:hAnsiTheme="minorHAnsi" w:cstheme="minorHAnsi"/>
                <w:color w:val="000000"/>
                <w:sz w:val="20"/>
              </w:rPr>
              <w:t>453.81</w:t>
            </w:r>
          </w:p>
        </w:tc>
        <w:tc>
          <w:tcPr>
            <w:tcW w:w="774" w:type="dxa"/>
            <w:shd w:val="clear" w:color="000000" w:fill="D9E1F2"/>
            <w:noWrap/>
            <w:vAlign w:val="bottom"/>
            <w:hideMark/>
          </w:tcPr>
          <w:p w14:paraId="62F06316" w14:textId="77777777" w:rsidR="00CF3EDF" w:rsidRPr="00CF3EDF" w:rsidRDefault="00CF3EDF" w:rsidP="00CF3EDF">
            <w:pPr>
              <w:jc w:val="center"/>
              <w:rPr>
                <w:rFonts w:asciiTheme="minorHAnsi" w:hAnsiTheme="minorHAnsi" w:cstheme="minorHAnsi"/>
                <w:b/>
                <w:bCs/>
                <w:color w:val="000000"/>
                <w:sz w:val="20"/>
              </w:rPr>
            </w:pPr>
            <w:r w:rsidRPr="00CF3EDF">
              <w:rPr>
                <w:rFonts w:asciiTheme="minorHAnsi" w:hAnsiTheme="minorHAnsi" w:cstheme="minorHAnsi"/>
                <w:b/>
                <w:bCs/>
                <w:color w:val="000000"/>
                <w:sz w:val="20"/>
              </w:rPr>
              <w:t>557.93</w:t>
            </w:r>
          </w:p>
        </w:tc>
        <w:tc>
          <w:tcPr>
            <w:tcW w:w="882" w:type="dxa"/>
            <w:shd w:val="clear" w:color="000000" w:fill="BFBFBF"/>
            <w:noWrap/>
            <w:vAlign w:val="bottom"/>
            <w:hideMark/>
          </w:tcPr>
          <w:p w14:paraId="3B163BDA" w14:textId="77777777" w:rsidR="00CF3EDF" w:rsidRPr="00CF3EDF" w:rsidRDefault="00CF3EDF" w:rsidP="00CF3EDF">
            <w:pPr>
              <w:jc w:val="center"/>
              <w:rPr>
                <w:rFonts w:asciiTheme="minorHAnsi" w:hAnsiTheme="minorHAnsi" w:cstheme="minorHAnsi"/>
                <w:color w:val="000000"/>
                <w:sz w:val="20"/>
              </w:rPr>
            </w:pPr>
            <w:r w:rsidRPr="00CF3EDF">
              <w:rPr>
                <w:rFonts w:asciiTheme="minorHAnsi" w:hAnsiTheme="minorHAnsi" w:cstheme="minorHAnsi"/>
                <w:color w:val="000000"/>
                <w:sz w:val="20"/>
              </w:rPr>
              <w:t>446.99</w:t>
            </w:r>
          </w:p>
        </w:tc>
        <w:tc>
          <w:tcPr>
            <w:tcW w:w="1064" w:type="dxa"/>
            <w:shd w:val="clear" w:color="000000" w:fill="BFBFBF"/>
            <w:noWrap/>
            <w:vAlign w:val="bottom"/>
            <w:hideMark/>
          </w:tcPr>
          <w:p w14:paraId="5F02F382" w14:textId="77777777" w:rsidR="00CF3EDF" w:rsidRPr="00CF3EDF" w:rsidRDefault="00CF3EDF" w:rsidP="00CF3EDF">
            <w:pPr>
              <w:jc w:val="center"/>
              <w:rPr>
                <w:rFonts w:asciiTheme="minorHAnsi" w:hAnsiTheme="minorHAnsi" w:cstheme="minorHAnsi"/>
                <w:color w:val="000000"/>
                <w:sz w:val="20"/>
              </w:rPr>
            </w:pPr>
            <w:r w:rsidRPr="00CF3EDF">
              <w:rPr>
                <w:rFonts w:asciiTheme="minorHAnsi" w:hAnsiTheme="minorHAnsi" w:cstheme="minorHAnsi"/>
                <w:color w:val="000000"/>
                <w:sz w:val="20"/>
              </w:rPr>
              <w:t>493.97</w:t>
            </w:r>
          </w:p>
        </w:tc>
        <w:tc>
          <w:tcPr>
            <w:tcW w:w="1868" w:type="dxa"/>
            <w:shd w:val="clear" w:color="000000" w:fill="D9E1F2"/>
            <w:noWrap/>
            <w:vAlign w:val="bottom"/>
            <w:hideMark/>
          </w:tcPr>
          <w:p w14:paraId="0F44AFDA" w14:textId="77777777" w:rsidR="00CF3EDF" w:rsidRPr="00CF3EDF" w:rsidRDefault="00CF3EDF" w:rsidP="00CF3EDF">
            <w:pPr>
              <w:jc w:val="center"/>
              <w:rPr>
                <w:rFonts w:asciiTheme="minorHAnsi" w:hAnsiTheme="minorHAnsi" w:cstheme="minorHAnsi"/>
                <w:b/>
                <w:bCs/>
                <w:color w:val="000000"/>
                <w:sz w:val="20"/>
              </w:rPr>
            </w:pPr>
            <w:r w:rsidRPr="00CF3EDF">
              <w:rPr>
                <w:rFonts w:asciiTheme="minorHAnsi" w:hAnsiTheme="minorHAnsi" w:cstheme="minorHAnsi"/>
                <w:b/>
                <w:bCs/>
                <w:color w:val="000000"/>
                <w:sz w:val="20"/>
              </w:rPr>
              <w:t>544.01</w:t>
            </w:r>
          </w:p>
        </w:tc>
      </w:tr>
      <w:tr w:rsidR="00AE0421" w:rsidRPr="00261318" w14:paraId="48E9732E" w14:textId="77777777" w:rsidTr="002673B7">
        <w:trPr>
          <w:trHeight w:val="135"/>
        </w:trPr>
        <w:tc>
          <w:tcPr>
            <w:tcW w:w="1440" w:type="dxa"/>
            <w:shd w:val="clear" w:color="000000" w:fill="000000"/>
            <w:noWrap/>
            <w:vAlign w:val="bottom"/>
            <w:hideMark/>
          </w:tcPr>
          <w:p w14:paraId="7837D65A" w14:textId="77777777" w:rsidR="00CF3EDF" w:rsidRPr="00CF3EDF" w:rsidRDefault="00CF3EDF" w:rsidP="00CF3EDF">
            <w:pPr>
              <w:jc w:val="right"/>
              <w:rPr>
                <w:rFonts w:asciiTheme="minorHAnsi" w:hAnsiTheme="minorHAnsi" w:cstheme="minorHAnsi"/>
                <w:b/>
                <w:bCs/>
                <w:color w:val="000000"/>
                <w:sz w:val="20"/>
              </w:rPr>
            </w:pPr>
            <w:r w:rsidRPr="00CF3EDF">
              <w:rPr>
                <w:rFonts w:asciiTheme="minorHAnsi" w:hAnsiTheme="minorHAnsi" w:cstheme="minorHAnsi"/>
                <w:b/>
                <w:bCs/>
                <w:color w:val="000000"/>
                <w:sz w:val="20"/>
              </w:rPr>
              <w:t> </w:t>
            </w:r>
          </w:p>
        </w:tc>
        <w:tc>
          <w:tcPr>
            <w:tcW w:w="982" w:type="dxa"/>
            <w:shd w:val="clear" w:color="000000" w:fill="000000"/>
            <w:noWrap/>
            <w:vAlign w:val="bottom"/>
            <w:hideMark/>
          </w:tcPr>
          <w:p w14:paraId="11274577" w14:textId="77777777" w:rsidR="00CF3EDF" w:rsidRPr="00CF3EDF" w:rsidRDefault="00CF3EDF" w:rsidP="00CF3EDF">
            <w:pPr>
              <w:jc w:val="center"/>
              <w:rPr>
                <w:rFonts w:asciiTheme="minorHAnsi" w:hAnsiTheme="minorHAnsi" w:cstheme="minorHAnsi"/>
                <w:color w:val="000000"/>
                <w:sz w:val="20"/>
              </w:rPr>
            </w:pPr>
            <w:r w:rsidRPr="00CF3EDF">
              <w:rPr>
                <w:rFonts w:asciiTheme="minorHAnsi" w:hAnsiTheme="minorHAnsi" w:cstheme="minorHAnsi"/>
                <w:color w:val="000000"/>
                <w:sz w:val="20"/>
              </w:rPr>
              <w:t> </w:t>
            </w:r>
          </w:p>
        </w:tc>
        <w:tc>
          <w:tcPr>
            <w:tcW w:w="1082" w:type="dxa"/>
            <w:shd w:val="clear" w:color="000000" w:fill="000000"/>
            <w:noWrap/>
            <w:vAlign w:val="center"/>
            <w:hideMark/>
          </w:tcPr>
          <w:p w14:paraId="2AA0A8FE" w14:textId="77777777" w:rsidR="00CF3EDF" w:rsidRPr="00CF3EDF" w:rsidRDefault="00CF3EDF" w:rsidP="00F1700F">
            <w:pPr>
              <w:ind w:left="-107" w:right="-23"/>
              <w:jc w:val="center"/>
              <w:rPr>
                <w:rFonts w:asciiTheme="minorHAnsi" w:hAnsiTheme="minorHAnsi" w:cstheme="minorHAnsi"/>
                <w:color w:val="000000"/>
                <w:sz w:val="20"/>
              </w:rPr>
            </w:pPr>
            <w:r w:rsidRPr="00CF3EDF">
              <w:rPr>
                <w:rFonts w:asciiTheme="minorHAnsi" w:hAnsiTheme="minorHAnsi" w:cstheme="minorHAnsi"/>
                <w:color w:val="000000"/>
                <w:sz w:val="20"/>
              </w:rPr>
              <w:t> </w:t>
            </w:r>
          </w:p>
        </w:tc>
        <w:tc>
          <w:tcPr>
            <w:tcW w:w="1098" w:type="dxa"/>
            <w:shd w:val="clear" w:color="auto" w:fill="000000" w:themeFill="text1"/>
            <w:noWrap/>
            <w:vAlign w:val="bottom"/>
            <w:hideMark/>
          </w:tcPr>
          <w:p w14:paraId="707FEC0A" w14:textId="77777777" w:rsidR="00CF3EDF" w:rsidRPr="00CF3EDF" w:rsidRDefault="00CF3EDF" w:rsidP="00F1700F">
            <w:pPr>
              <w:ind w:left="-117"/>
              <w:jc w:val="center"/>
              <w:rPr>
                <w:rFonts w:asciiTheme="minorHAnsi" w:hAnsiTheme="minorHAnsi" w:cstheme="minorHAnsi"/>
                <w:color w:val="000000"/>
                <w:sz w:val="20"/>
              </w:rPr>
            </w:pPr>
            <w:r w:rsidRPr="00CF3EDF">
              <w:rPr>
                <w:rFonts w:asciiTheme="minorHAnsi" w:hAnsiTheme="minorHAnsi" w:cstheme="minorHAnsi"/>
                <w:color w:val="000000"/>
                <w:sz w:val="20"/>
              </w:rPr>
              <w:t> </w:t>
            </w:r>
          </w:p>
        </w:tc>
        <w:tc>
          <w:tcPr>
            <w:tcW w:w="774" w:type="dxa"/>
            <w:shd w:val="clear" w:color="auto" w:fill="000000" w:themeFill="text1"/>
            <w:noWrap/>
            <w:vAlign w:val="bottom"/>
            <w:hideMark/>
          </w:tcPr>
          <w:p w14:paraId="768F3EAE" w14:textId="77777777" w:rsidR="00CF3EDF" w:rsidRPr="00CF3EDF" w:rsidRDefault="00CF3EDF" w:rsidP="00CF3EDF">
            <w:pPr>
              <w:jc w:val="center"/>
              <w:rPr>
                <w:rFonts w:asciiTheme="minorHAnsi" w:hAnsiTheme="minorHAnsi" w:cstheme="minorHAnsi"/>
                <w:color w:val="000000"/>
                <w:sz w:val="20"/>
              </w:rPr>
            </w:pPr>
            <w:r w:rsidRPr="00CF3EDF">
              <w:rPr>
                <w:rFonts w:asciiTheme="minorHAnsi" w:hAnsiTheme="minorHAnsi" w:cstheme="minorHAnsi"/>
                <w:color w:val="000000"/>
                <w:sz w:val="20"/>
              </w:rPr>
              <w:t> </w:t>
            </w:r>
          </w:p>
        </w:tc>
        <w:tc>
          <w:tcPr>
            <w:tcW w:w="1151" w:type="dxa"/>
            <w:shd w:val="clear" w:color="auto" w:fill="000000" w:themeFill="text1"/>
            <w:noWrap/>
            <w:vAlign w:val="bottom"/>
            <w:hideMark/>
          </w:tcPr>
          <w:p w14:paraId="70648D92" w14:textId="77777777" w:rsidR="00CF3EDF" w:rsidRPr="00CF3EDF" w:rsidRDefault="00CF3EDF" w:rsidP="00CF3EDF">
            <w:pPr>
              <w:jc w:val="center"/>
              <w:rPr>
                <w:rFonts w:asciiTheme="minorHAnsi" w:hAnsiTheme="minorHAnsi" w:cstheme="minorHAnsi"/>
                <w:color w:val="000000"/>
                <w:sz w:val="20"/>
              </w:rPr>
            </w:pPr>
            <w:r w:rsidRPr="00CF3EDF">
              <w:rPr>
                <w:rFonts w:asciiTheme="minorHAnsi" w:hAnsiTheme="minorHAnsi" w:cstheme="minorHAnsi"/>
                <w:color w:val="000000"/>
                <w:sz w:val="20"/>
              </w:rPr>
              <w:t> </w:t>
            </w:r>
          </w:p>
        </w:tc>
        <w:tc>
          <w:tcPr>
            <w:tcW w:w="888" w:type="dxa"/>
            <w:shd w:val="clear" w:color="auto" w:fill="000000" w:themeFill="text1"/>
            <w:noWrap/>
            <w:vAlign w:val="bottom"/>
            <w:hideMark/>
          </w:tcPr>
          <w:p w14:paraId="5C981DB0" w14:textId="77777777" w:rsidR="00CF3EDF" w:rsidRPr="00CF3EDF" w:rsidRDefault="00CF3EDF" w:rsidP="00CF3EDF">
            <w:pPr>
              <w:jc w:val="center"/>
              <w:rPr>
                <w:rFonts w:asciiTheme="minorHAnsi" w:hAnsiTheme="minorHAnsi" w:cstheme="minorHAnsi"/>
                <w:color w:val="000000"/>
                <w:sz w:val="20"/>
              </w:rPr>
            </w:pPr>
            <w:r w:rsidRPr="00CF3EDF">
              <w:rPr>
                <w:rFonts w:asciiTheme="minorHAnsi" w:hAnsiTheme="minorHAnsi" w:cstheme="minorHAnsi"/>
                <w:color w:val="000000"/>
                <w:sz w:val="20"/>
              </w:rPr>
              <w:t> </w:t>
            </w:r>
          </w:p>
        </w:tc>
        <w:tc>
          <w:tcPr>
            <w:tcW w:w="1210" w:type="dxa"/>
            <w:shd w:val="clear" w:color="auto" w:fill="000000" w:themeFill="text1"/>
            <w:noWrap/>
            <w:vAlign w:val="bottom"/>
            <w:hideMark/>
          </w:tcPr>
          <w:p w14:paraId="52B7C852" w14:textId="77777777" w:rsidR="00CF3EDF" w:rsidRPr="00CF3EDF" w:rsidRDefault="00CF3EDF" w:rsidP="00CF3EDF">
            <w:pPr>
              <w:jc w:val="center"/>
              <w:rPr>
                <w:rFonts w:asciiTheme="minorHAnsi" w:hAnsiTheme="minorHAnsi" w:cstheme="minorHAnsi"/>
                <w:color w:val="000000"/>
                <w:sz w:val="20"/>
              </w:rPr>
            </w:pPr>
            <w:r w:rsidRPr="00CF3EDF">
              <w:rPr>
                <w:rFonts w:asciiTheme="minorHAnsi" w:hAnsiTheme="minorHAnsi" w:cstheme="minorHAnsi"/>
                <w:color w:val="000000"/>
                <w:sz w:val="20"/>
              </w:rPr>
              <w:t> </w:t>
            </w:r>
          </w:p>
        </w:tc>
        <w:tc>
          <w:tcPr>
            <w:tcW w:w="774" w:type="dxa"/>
            <w:shd w:val="clear" w:color="auto" w:fill="000000" w:themeFill="text1"/>
            <w:noWrap/>
            <w:vAlign w:val="bottom"/>
            <w:hideMark/>
          </w:tcPr>
          <w:p w14:paraId="6F8CD464" w14:textId="77777777" w:rsidR="00CF3EDF" w:rsidRPr="00CF3EDF" w:rsidRDefault="00CF3EDF" w:rsidP="00CF3EDF">
            <w:pPr>
              <w:jc w:val="center"/>
              <w:rPr>
                <w:rFonts w:asciiTheme="minorHAnsi" w:hAnsiTheme="minorHAnsi" w:cstheme="minorHAnsi"/>
                <w:color w:val="000000"/>
                <w:sz w:val="20"/>
              </w:rPr>
            </w:pPr>
            <w:r w:rsidRPr="00CF3EDF">
              <w:rPr>
                <w:rFonts w:asciiTheme="minorHAnsi" w:hAnsiTheme="minorHAnsi" w:cstheme="minorHAnsi"/>
                <w:color w:val="000000"/>
                <w:sz w:val="20"/>
              </w:rPr>
              <w:t> </w:t>
            </w:r>
          </w:p>
        </w:tc>
        <w:tc>
          <w:tcPr>
            <w:tcW w:w="1406" w:type="dxa"/>
            <w:shd w:val="clear" w:color="auto" w:fill="000000" w:themeFill="text1"/>
            <w:noWrap/>
            <w:vAlign w:val="bottom"/>
            <w:hideMark/>
          </w:tcPr>
          <w:p w14:paraId="08BD0208" w14:textId="77777777" w:rsidR="00CF3EDF" w:rsidRPr="00CF3EDF" w:rsidRDefault="00CF3EDF" w:rsidP="00CF3EDF">
            <w:pPr>
              <w:jc w:val="center"/>
              <w:rPr>
                <w:rFonts w:asciiTheme="minorHAnsi" w:hAnsiTheme="minorHAnsi" w:cstheme="minorHAnsi"/>
                <w:color w:val="000000"/>
                <w:sz w:val="20"/>
              </w:rPr>
            </w:pPr>
            <w:r w:rsidRPr="00CF3EDF">
              <w:rPr>
                <w:rFonts w:asciiTheme="minorHAnsi" w:hAnsiTheme="minorHAnsi" w:cstheme="minorHAnsi"/>
                <w:color w:val="000000"/>
                <w:sz w:val="20"/>
              </w:rPr>
              <w:t> </w:t>
            </w:r>
          </w:p>
        </w:tc>
        <w:tc>
          <w:tcPr>
            <w:tcW w:w="286" w:type="dxa"/>
            <w:shd w:val="clear" w:color="auto" w:fill="000000" w:themeFill="text1"/>
            <w:noWrap/>
            <w:vAlign w:val="bottom"/>
            <w:hideMark/>
          </w:tcPr>
          <w:p w14:paraId="5603B091" w14:textId="77777777" w:rsidR="00CF3EDF" w:rsidRPr="00CF3EDF" w:rsidRDefault="00CF3EDF" w:rsidP="00CF3EDF">
            <w:pPr>
              <w:jc w:val="center"/>
              <w:rPr>
                <w:rFonts w:asciiTheme="minorHAnsi" w:hAnsiTheme="minorHAnsi" w:cstheme="minorHAnsi"/>
                <w:color w:val="000000"/>
                <w:sz w:val="20"/>
              </w:rPr>
            </w:pPr>
            <w:r w:rsidRPr="00CF3EDF">
              <w:rPr>
                <w:rFonts w:asciiTheme="minorHAnsi" w:hAnsiTheme="minorHAnsi" w:cstheme="minorHAnsi"/>
                <w:color w:val="000000"/>
                <w:sz w:val="20"/>
              </w:rPr>
              <w:t> </w:t>
            </w:r>
          </w:p>
        </w:tc>
        <w:tc>
          <w:tcPr>
            <w:tcW w:w="1514" w:type="dxa"/>
            <w:shd w:val="clear" w:color="auto" w:fill="000000" w:themeFill="text1"/>
            <w:noWrap/>
            <w:vAlign w:val="bottom"/>
            <w:hideMark/>
          </w:tcPr>
          <w:p w14:paraId="66998556" w14:textId="77777777" w:rsidR="00CF3EDF" w:rsidRPr="00CF3EDF" w:rsidRDefault="00CF3EDF" w:rsidP="00CF3EDF">
            <w:pPr>
              <w:jc w:val="center"/>
              <w:rPr>
                <w:rFonts w:asciiTheme="minorHAnsi" w:hAnsiTheme="minorHAnsi" w:cstheme="minorHAnsi"/>
                <w:color w:val="000000"/>
                <w:sz w:val="20"/>
              </w:rPr>
            </w:pPr>
            <w:r w:rsidRPr="00CF3EDF">
              <w:rPr>
                <w:rFonts w:asciiTheme="minorHAnsi" w:hAnsiTheme="minorHAnsi" w:cstheme="minorHAnsi"/>
                <w:color w:val="000000"/>
                <w:sz w:val="20"/>
              </w:rPr>
              <w:t> </w:t>
            </w:r>
          </w:p>
        </w:tc>
        <w:tc>
          <w:tcPr>
            <w:tcW w:w="774" w:type="dxa"/>
            <w:shd w:val="clear" w:color="auto" w:fill="000000" w:themeFill="text1"/>
            <w:noWrap/>
            <w:vAlign w:val="bottom"/>
            <w:hideMark/>
          </w:tcPr>
          <w:p w14:paraId="2A9D2C34" w14:textId="77777777" w:rsidR="00CF3EDF" w:rsidRPr="00CF3EDF" w:rsidRDefault="00CF3EDF" w:rsidP="00CF3EDF">
            <w:pPr>
              <w:jc w:val="center"/>
              <w:rPr>
                <w:rFonts w:asciiTheme="minorHAnsi" w:hAnsiTheme="minorHAnsi" w:cstheme="minorHAnsi"/>
                <w:color w:val="000000"/>
                <w:sz w:val="20"/>
              </w:rPr>
            </w:pPr>
            <w:r w:rsidRPr="00CF3EDF">
              <w:rPr>
                <w:rFonts w:asciiTheme="minorHAnsi" w:hAnsiTheme="minorHAnsi" w:cstheme="minorHAnsi"/>
                <w:color w:val="000000"/>
                <w:sz w:val="20"/>
              </w:rPr>
              <w:t> </w:t>
            </w:r>
          </w:p>
        </w:tc>
        <w:tc>
          <w:tcPr>
            <w:tcW w:w="882" w:type="dxa"/>
            <w:shd w:val="clear" w:color="auto" w:fill="000000" w:themeFill="text1"/>
            <w:noWrap/>
            <w:vAlign w:val="bottom"/>
            <w:hideMark/>
          </w:tcPr>
          <w:p w14:paraId="6AB5994F" w14:textId="77777777" w:rsidR="00CF3EDF" w:rsidRPr="00CF3EDF" w:rsidRDefault="00CF3EDF" w:rsidP="00CF3EDF">
            <w:pPr>
              <w:jc w:val="center"/>
              <w:rPr>
                <w:rFonts w:asciiTheme="minorHAnsi" w:hAnsiTheme="minorHAnsi" w:cstheme="minorHAnsi"/>
                <w:color w:val="000000"/>
                <w:sz w:val="20"/>
              </w:rPr>
            </w:pPr>
            <w:r w:rsidRPr="00CF3EDF">
              <w:rPr>
                <w:rFonts w:asciiTheme="minorHAnsi" w:hAnsiTheme="minorHAnsi" w:cstheme="minorHAnsi"/>
                <w:color w:val="000000"/>
                <w:sz w:val="20"/>
              </w:rPr>
              <w:t> </w:t>
            </w:r>
          </w:p>
        </w:tc>
        <w:tc>
          <w:tcPr>
            <w:tcW w:w="1064" w:type="dxa"/>
            <w:shd w:val="clear" w:color="auto" w:fill="000000" w:themeFill="text1"/>
            <w:noWrap/>
            <w:vAlign w:val="bottom"/>
            <w:hideMark/>
          </w:tcPr>
          <w:p w14:paraId="53C76468" w14:textId="77777777" w:rsidR="00CF3EDF" w:rsidRPr="00CF3EDF" w:rsidRDefault="00CF3EDF" w:rsidP="00CF3EDF">
            <w:pPr>
              <w:rPr>
                <w:rFonts w:asciiTheme="minorHAnsi" w:hAnsiTheme="minorHAnsi" w:cstheme="minorHAnsi"/>
                <w:color w:val="000000"/>
                <w:sz w:val="20"/>
              </w:rPr>
            </w:pPr>
            <w:r w:rsidRPr="00CF3EDF">
              <w:rPr>
                <w:rFonts w:asciiTheme="minorHAnsi" w:hAnsiTheme="minorHAnsi" w:cstheme="minorHAnsi"/>
                <w:color w:val="000000"/>
                <w:sz w:val="20"/>
              </w:rPr>
              <w:t> </w:t>
            </w:r>
          </w:p>
        </w:tc>
        <w:tc>
          <w:tcPr>
            <w:tcW w:w="1868" w:type="dxa"/>
            <w:shd w:val="clear" w:color="auto" w:fill="000000" w:themeFill="text1"/>
            <w:noWrap/>
            <w:vAlign w:val="bottom"/>
            <w:hideMark/>
          </w:tcPr>
          <w:p w14:paraId="2363DB86" w14:textId="77777777" w:rsidR="00CF3EDF" w:rsidRPr="00CF3EDF" w:rsidRDefault="00CF3EDF" w:rsidP="00CF3EDF">
            <w:pPr>
              <w:rPr>
                <w:rFonts w:asciiTheme="minorHAnsi" w:hAnsiTheme="minorHAnsi" w:cstheme="minorHAnsi"/>
                <w:color w:val="000000"/>
                <w:sz w:val="20"/>
              </w:rPr>
            </w:pPr>
            <w:r w:rsidRPr="00CF3EDF">
              <w:rPr>
                <w:rFonts w:asciiTheme="minorHAnsi" w:hAnsiTheme="minorHAnsi" w:cstheme="minorHAnsi"/>
                <w:color w:val="000000"/>
                <w:sz w:val="20"/>
              </w:rPr>
              <w:t> </w:t>
            </w:r>
          </w:p>
        </w:tc>
      </w:tr>
      <w:tr w:rsidR="002673B7" w:rsidRPr="00CF3EDF" w14:paraId="2E2911B5" w14:textId="77777777" w:rsidTr="002673B7">
        <w:trPr>
          <w:trHeight w:val="300"/>
        </w:trPr>
        <w:tc>
          <w:tcPr>
            <w:tcW w:w="1440" w:type="dxa"/>
            <w:shd w:val="clear" w:color="auto" w:fill="auto"/>
            <w:noWrap/>
            <w:vAlign w:val="bottom"/>
            <w:hideMark/>
          </w:tcPr>
          <w:p w14:paraId="0D9A4738" w14:textId="77777777" w:rsidR="00CF3EDF" w:rsidRPr="00CF3EDF" w:rsidRDefault="00CF3EDF" w:rsidP="00CF3EDF">
            <w:pPr>
              <w:jc w:val="right"/>
              <w:rPr>
                <w:rFonts w:asciiTheme="minorHAnsi" w:hAnsiTheme="minorHAnsi" w:cstheme="minorHAnsi"/>
                <w:b/>
                <w:bCs/>
                <w:color w:val="000000"/>
                <w:sz w:val="20"/>
              </w:rPr>
            </w:pPr>
            <w:r w:rsidRPr="00CF3EDF">
              <w:rPr>
                <w:rFonts w:asciiTheme="minorHAnsi" w:hAnsiTheme="minorHAnsi" w:cstheme="minorHAnsi"/>
                <w:b/>
                <w:bCs/>
                <w:color w:val="000000"/>
                <w:sz w:val="20"/>
              </w:rPr>
              <w:t>Cost Score</w:t>
            </w:r>
          </w:p>
        </w:tc>
        <w:tc>
          <w:tcPr>
            <w:tcW w:w="982" w:type="dxa"/>
            <w:shd w:val="clear" w:color="auto" w:fill="auto"/>
            <w:noWrap/>
            <w:vAlign w:val="bottom"/>
            <w:hideMark/>
          </w:tcPr>
          <w:p w14:paraId="72AADC99" w14:textId="77777777" w:rsidR="00CF3EDF" w:rsidRPr="00CF3EDF" w:rsidRDefault="00CF3EDF" w:rsidP="00CF3EDF">
            <w:pPr>
              <w:jc w:val="center"/>
              <w:rPr>
                <w:rFonts w:asciiTheme="minorHAnsi" w:hAnsiTheme="minorHAnsi" w:cstheme="minorHAnsi"/>
                <w:color w:val="000000"/>
                <w:sz w:val="20"/>
              </w:rPr>
            </w:pPr>
            <w:r w:rsidRPr="00CF3EDF">
              <w:rPr>
                <w:rFonts w:asciiTheme="minorHAnsi" w:hAnsiTheme="minorHAnsi" w:cstheme="minorHAnsi"/>
                <w:color w:val="000000"/>
                <w:sz w:val="20"/>
              </w:rPr>
              <w:t xml:space="preserve"> </w:t>
            </w:r>
          </w:p>
        </w:tc>
        <w:tc>
          <w:tcPr>
            <w:tcW w:w="1082" w:type="dxa"/>
            <w:shd w:val="clear" w:color="auto" w:fill="auto"/>
            <w:noWrap/>
            <w:vAlign w:val="center"/>
            <w:hideMark/>
          </w:tcPr>
          <w:p w14:paraId="1FDDCEB2" w14:textId="77777777" w:rsidR="00CF3EDF" w:rsidRPr="00CF3EDF" w:rsidRDefault="00CF3EDF" w:rsidP="00F1700F">
            <w:pPr>
              <w:ind w:left="-107" w:right="-23"/>
              <w:jc w:val="center"/>
              <w:rPr>
                <w:rFonts w:asciiTheme="minorHAnsi" w:hAnsiTheme="minorHAnsi" w:cstheme="minorHAnsi"/>
                <w:color w:val="000000"/>
                <w:sz w:val="20"/>
              </w:rPr>
            </w:pPr>
            <w:r w:rsidRPr="00CF3EDF">
              <w:rPr>
                <w:rFonts w:asciiTheme="minorHAnsi" w:hAnsiTheme="minorHAnsi" w:cstheme="minorHAnsi"/>
                <w:color w:val="000000"/>
                <w:sz w:val="20"/>
              </w:rPr>
              <w:t xml:space="preserve"> </w:t>
            </w:r>
          </w:p>
        </w:tc>
        <w:tc>
          <w:tcPr>
            <w:tcW w:w="1098" w:type="dxa"/>
            <w:shd w:val="clear" w:color="000000" w:fill="D9E1F2"/>
            <w:noWrap/>
            <w:vAlign w:val="center"/>
            <w:hideMark/>
          </w:tcPr>
          <w:p w14:paraId="1B4F58E9" w14:textId="77777777" w:rsidR="00CF3EDF" w:rsidRPr="00CF3EDF" w:rsidRDefault="00CF3EDF" w:rsidP="00F1700F">
            <w:pPr>
              <w:ind w:left="-117"/>
              <w:jc w:val="center"/>
              <w:rPr>
                <w:rFonts w:asciiTheme="minorHAnsi" w:hAnsiTheme="minorHAnsi" w:cstheme="minorHAnsi"/>
                <w:color w:val="000000"/>
                <w:sz w:val="20"/>
              </w:rPr>
            </w:pPr>
            <w:r w:rsidRPr="00CF3EDF">
              <w:rPr>
                <w:rFonts w:asciiTheme="minorHAnsi" w:hAnsiTheme="minorHAnsi" w:cstheme="minorHAnsi"/>
                <w:color w:val="000000"/>
                <w:sz w:val="20"/>
              </w:rPr>
              <w:t>200</w:t>
            </w:r>
          </w:p>
        </w:tc>
        <w:tc>
          <w:tcPr>
            <w:tcW w:w="774" w:type="dxa"/>
            <w:shd w:val="clear" w:color="auto" w:fill="auto"/>
            <w:noWrap/>
            <w:vAlign w:val="center"/>
            <w:hideMark/>
          </w:tcPr>
          <w:p w14:paraId="4E1298BE" w14:textId="77777777" w:rsidR="00CF3EDF" w:rsidRPr="00CF3EDF" w:rsidRDefault="00CF3EDF" w:rsidP="00CF3EDF">
            <w:pPr>
              <w:jc w:val="center"/>
              <w:rPr>
                <w:rFonts w:asciiTheme="minorHAnsi" w:hAnsiTheme="minorHAnsi" w:cstheme="minorHAnsi"/>
                <w:color w:val="000000"/>
                <w:sz w:val="20"/>
              </w:rPr>
            </w:pPr>
            <w:r w:rsidRPr="00CF3EDF">
              <w:rPr>
                <w:rFonts w:asciiTheme="minorHAnsi" w:hAnsiTheme="minorHAnsi" w:cstheme="minorHAnsi"/>
                <w:color w:val="000000"/>
                <w:sz w:val="20"/>
              </w:rPr>
              <w:t xml:space="preserve"> </w:t>
            </w:r>
          </w:p>
        </w:tc>
        <w:tc>
          <w:tcPr>
            <w:tcW w:w="1151" w:type="dxa"/>
            <w:shd w:val="clear" w:color="auto" w:fill="auto"/>
            <w:noWrap/>
            <w:vAlign w:val="center"/>
            <w:hideMark/>
          </w:tcPr>
          <w:p w14:paraId="3A7A9068" w14:textId="77777777" w:rsidR="00CF3EDF" w:rsidRPr="00CF3EDF" w:rsidRDefault="00CF3EDF" w:rsidP="00CF3EDF">
            <w:pPr>
              <w:jc w:val="center"/>
              <w:rPr>
                <w:rFonts w:asciiTheme="minorHAnsi" w:hAnsiTheme="minorHAnsi" w:cstheme="minorHAnsi"/>
                <w:color w:val="000000"/>
                <w:sz w:val="20"/>
              </w:rPr>
            </w:pPr>
          </w:p>
        </w:tc>
        <w:tc>
          <w:tcPr>
            <w:tcW w:w="888" w:type="dxa"/>
            <w:shd w:val="clear" w:color="auto" w:fill="auto"/>
            <w:noWrap/>
            <w:vAlign w:val="center"/>
            <w:hideMark/>
          </w:tcPr>
          <w:p w14:paraId="0B02C864" w14:textId="77777777" w:rsidR="00CF3EDF" w:rsidRPr="00CF3EDF" w:rsidRDefault="00CF3EDF" w:rsidP="00CF3EDF">
            <w:pPr>
              <w:jc w:val="center"/>
              <w:rPr>
                <w:rFonts w:asciiTheme="minorHAnsi" w:hAnsiTheme="minorHAnsi" w:cstheme="minorHAnsi"/>
                <w:sz w:val="20"/>
              </w:rPr>
            </w:pPr>
          </w:p>
        </w:tc>
        <w:tc>
          <w:tcPr>
            <w:tcW w:w="1210" w:type="dxa"/>
            <w:shd w:val="clear" w:color="auto" w:fill="auto"/>
            <w:noWrap/>
            <w:vAlign w:val="center"/>
            <w:hideMark/>
          </w:tcPr>
          <w:p w14:paraId="04CE594E" w14:textId="77777777" w:rsidR="00CF3EDF" w:rsidRPr="00CF3EDF" w:rsidRDefault="00CF3EDF" w:rsidP="00CF3EDF">
            <w:pPr>
              <w:jc w:val="center"/>
              <w:rPr>
                <w:rFonts w:asciiTheme="minorHAnsi" w:hAnsiTheme="minorHAnsi" w:cstheme="minorHAnsi"/>
                <w:sz w:val="20"/>
              </w:rPr>
            </w:pPr>
          </w:p>
        </w:tc>
        <w:tc>
          <w:tcPr>
            <w:tcW w:w="774" w:type="dxa"/>
            <w:shd w:val="clear" w:color="auto" w:fill="auto"/>
            <w:noWrap/>
            <w:vAlign w:val="center"/>
            <w:hideMark/>
          </w:tcPr>
          <w:p w14:paraId="7B44C8EB" w14:textId="77777777" w:rsidR="00CF3EDF" w:rsidRPr="00CF3EDF" w:rsidRDefault="00CF3EDF" w:rsidP="00CF3EDF">
            <w:pPr>
              <w:jc w:val="center"/>
              <w:rPr>
                <w:rFonts w:asciiTheme="minorHAnsi" w:hAnsiTheme="minorHAnsi" w:cstheme="minorHAnsi"/>
                <w:sz w:val="20"/>
              </w:rPr>
            </w:pPr>
          </w:p>
        </w:tc>
        <w:tc>
          <w:tcPr>
            <w:tcW w:w="1406" w:type="dxa"/>
            <w:shd w:val="clear" w:color="000000" w:fill="D9E1F2"/>
            <w:noWrap/>
            <w:vAlign w:val="center"/>
            <w:hideMark/>
          </w:tcPr>
          <w:p w14:paraId="18DCD96F" w14:textId="77777777" w:rsidR="00CF3EDF" w:rsidRPr="00CF3EDF" w:rsidRDefault="00CF3EDF" w:rsidP="00CF3EDF">
            <w:pPr>
              <w:jc w:val="center"/>
              <w:rPr>
                <w:rFonts w:asciiTheme="minorHAnsi" w:hAnsiTheme="minorHAnsi" w:cstheme="minorHAnsi"/>
                <w:color w:val="000000"/>
                <w:sz w:val="20"/>
              </w:rPr>
            </w:pPr>
            <w:r w:rsidRPr="00CF3EDF">
              <w:rPr>
                <w:rFonts w:asciiTheme="minorHAnsi" w:hAnsiTheme="minorHAnsi" w:cstheme="minorHAnsi"/>
                <w:color w:val="000000"/>
                <w:sz w:val="20"/>
              </w:rPr>
              <w:t>106</w:t>
            </w:r>
          </w:p>
        </w:tc>
        <w:tc>
          <w:tcPr>
            <w:tcW w:w="286" w:type="dxa"/>
            <w:shd w:val="clear" w:color="auto" w:fill="auto"/>
            <w:noWrap/>
            <w:vAlign w:val="bottom"/>
            <w:hideMark/>
          </w:tcPr>
          <w:p w14:paraId="6B8E26C0" w14:textId="77777777" w:rsidR="00CF3EDF" w:rsidRPr="00CF3EDF" w:rsidRDefault="00CF3EDF" w:rsidP="00CF3EDF">
            <w:pPr>
              <w:jc w:val="center"/>
              <w:rPr>
                <w:rFonts w:asciiTheme="minorHAnsi" w:hAnsiTheme="minorHAnsi" w:cstheme="minorHAnsi"/>
                <w:color w:val="000000"/>
                <w:sz w:val="20"/>
              </w:rPr>
            </w:pPr>
          </w:p>
        </w:tc>
        <w:tc>
          <w:tcPr>
            <w:tcW w:w="1514" w:type="dxa"/>
            <w:shd w:val="clear" w:color="auto" w:fill="auto"/>
            <w:noWrap/>
            <w:vAlign w:val="bottom"/>
            <w:hideMark/>
          </w:tcPr>
          <w:p w14:paraId="47719321" w14:textId="77777777" w:rsidR="00CF3EDF" w:rsidRPr="00CF3EDF" w:rsidRDefault="00CF3EDF" w:rsidP="00CF3EDF">
            <w:pPr>
              <w:jc w:val="center"/>
              <w:rPr>
                <w:rFonts w:asciiTheme="minorHAnsi" w:hAnsiTheme="minorHAnsi" w:cstheme="minorHAnsi"/>
                <w:sz w:val="20"/>
              </w:rPr>
            </w:pPr>
          </w:p>
        </w:tc>
        <w:tc>
          <w:tcPr>
            <w:tcW w:w="774" w:type="dxa"/>
            <w:shd w:val="clear" w:color="000000" w:fill="D9E1F2"/>
            <w:noWrap/>
            <w:vAlign w:val="bottom"/>
            <w:hideMark/>
          </w:tcPr>
          <w:p w14:paraId="6B262ABC" w14:textId="77777777" w:rsidR="00CF3EDF" w:rsidRPr="00CF3EDF" w:rsidRDefault="00CF3EDF" w:rsidP="00CF3EDF">
            <w:pPr>
              <w:jc w:val="center"/>
              <w:rPr>
                <w:rFonts w:asciiTheme="minorHAnsi" w:hAnsiTheme="minorHAnsi" w:cstheme="minorHAnsi"/>
                <w:color w:val="000000"/>
                <w:sz w:val="20"/>
              </w:rPr>
            </w:pPr>
            <w:r w:rsidRPr="00CF3EDF">
              <w:rPr>
                <w:rFonts w:asciiTheme="minorHAnsi" w:hAnsiTheme="minorHAnsi" w:cstheme="minorHAnsi"/>
                <w:color w:val="000000"/>
                <w:sz w:val="20"/>
              </w:rPr>
              <w:t>142</w:t>
            </w:r>
          </w:p>
        </w:tc>
        <w:tc>
          <w:tcPr>
            <w:tcW w:w="882" w:type="dxa"/>
            <w:shd w:val="clear" w:color="auto" w:fill="auto"/>
            <w:noWrap/>
            <w:vAlign w:val="bottom"/>
            <w:hideMark/>
          </w:tcPr>
          <w:p w14:paraId="32424EA8" w14:textId="77777777" w:rsidR="00CF3EDF" w:rsidRPr="00CF3EDF" w:rsidRDefault="00CF3EDF" w:rsidP="00CF3EDF">
            <w:pPr>
              <w:jc w:val="center"/>
              <w:rPr>
                <w:rFonts w:asciiTheme="minorHAnsi" w:hAnsiTheme="minorHAnsi" w:cstheme="minorHAnsi"/>
                <w:color w:val="000000"/>
                <w:sz w:val="20"/>
              </w:rPr>
            </w:pPr>
            <w:r w:rsidRPr="00CF3EDF">
              <w:rPr>
                <w:rFonts w:asciiTheme="minorHAnsi" w:hAnsiTheme="minorHAnsi" w:cstheme="minorHAnsi"/>
                <w:color w:val="000000"/>
                <w:sz w:val="20"/>
              </w:rPr>
              <w:t xml:space="preserve"> </w:t>
            </w:r>
          </w:p>
        </w:tc>
        <w:tc>
          <w:tcPr>
            <w:tcW w:w="1064" w:type="dxa"/>
            <w:shd w:val="clear" w:color="auto" w:fill="auto"/>
            <w:noWrap/>
            <w:vAlign w:val="bottom"/>
            <w:hideMark/>
          </w:tcPr>
          <w:p w14:paraId="34D04D49" w14:textId="77777777" w:rsidR="00CF3EDF" w:rsidRPr="00CF3EDF" w:rsidRDefault="00CF3EDF" w:rsidP="00CF3EDF">
            <w:pPr>
              <w:jc w:val="center"/>
              <w:rPr>
                <w:rFonts w:asciiTheme="minorHAnsi" w:hAnsiTheme="minorHAnsi" w:cstheme="minorHAnsi"/>
                <w:color w:val="000000"/>
                <w:sz w:val="20"/>
              </w:rPr>
            </w:pPr>
          </w:p>
        </w:tc>
        <w:tc>
          <w:tcPr>
            <w:tcW w:w="1868" w:type="dxa"/>
            <w:shd w:val="clear" w:color="000000" w:fill="D9E1F2"/>
            <w:noWrap/>
            <w:vAlign w:val="center"/>
            <w:hideMark/>
          </w:tcPr>
          <w:p w14:paraId="3631C396" w14:textId="77777777" w:rsidR="00CF3EDF" w:rsidRPr="00CF3EDF" w:rsidRDefault="00CF3EDF" w:rsidP="00CF3EDF">
            <w:pPr>
              <w:jc w:val="center"/>
              <w:rPr>
                <w:rFonts w:asciiTheme="minorHAnsi" w:hAnsiTheme="minorHAnsi" w:cstheme="minorHAnsi"/>
                <w:color w:val="000000"/>
                <w:sz w:val="20"/>
              </w:rPr>
            </w:pPr>
            <w:r w:rsidRPr="00CF3EDF">
              <w:rPr>
                <w:rFonts w:asciiTheme="minorHAnsi" w:hAnsiTheme="minorHAnsi" w:cstheme="minorHAnsi"/>
                <w:color w:val="000000"/>
                <w:sz w:val="20"/>
              </w:rPr>
              <w:t>104</w:t>
            </w:r>
          </w:p>
        </w:tc>
      </w:tr>
      <w:tr w:rsidR="002673B7" w:rsidRPr="00CF3EDF" w14:paraId="7EC659D3" w14:textId="77777777" w:rsidTr="002673B7">
        <w:trPr>
          <w:trHeight w:val="300"/>
        </w:trPr>
        <w:tc>
          <w:tcPr>
            <w:tcW w:w="1440" w:type="dxa"/>
            <w:shd w:val="clear" w:color="auto" w:fill="auto"/>
            <w:noWrap/>
            <w:vAlign w:val="bottom"/>
            <w:hideMark/>
          </w:tcPr>
          <w:p w14:paraId="789919C7" w14:textId="13E3C1F4" w:rsidR="00CF3EDF" w:rsidRPr="00CF3EDF" w:rsidRDefault="00CF3EDF" w:rsidP="00CF3EDF">
            <w:pPr>
              <w:jc w:val="right"/>
              <w:rPr>
                <w:rFonts w:asciiTheme="minorHAnsi" w:hAnsiTheme="minorHAnsi" w:cstheme="minorHAnsi"/>
                <w:b/>
                <w:bCs/>
                <w:color w:val="000000"/>
                <w:sz w:val="20"/>
              </w:rPr>
            </w:pPr>
            <w:r w:rsidRPr="00CF3EDF">
              <w:rPr>
                <w:rFonts w:asciiTheme="minorHAnsi" w:hAnsiTheme="minorHAnsi" w:cstheme="minorHAnsi"/>
                <w:b/>
                <w:bCs/>
                <w:color w:val="000000"/>
                <w:sz w:val="20"/>
              </w:rPr>
              <w:t>Total Score</w:t>
            </w:r>
          </w:p>
        </w:tc>
        <w:tc>
          <w:tcPr>
            <w:tcW w:w="982" w:type="dxa"/>
            <w:shd w:val="clear" w:color="auto" w:fill="auto"/>
            <w:noWrap/>
            <w:vAlign w:val="bottom"/>
            <w:hideMark/>
          </w:tcPr>
          <w:p w14:paraId="247EDD02" w14:textId="77777777" w:rsidR="00CF3EDF" w:rsidRPr="00CF3EDF" w:rsidRDefault="00CF3EDF" w:rsidP="00CF3EDF">
            <w:pPr>
              <w:jc w:val="right"/>
              <w:rPr>
                <w:rFonts w:asciiTheme="minorHAnsi" w:hAnsiTheme="minorHAnsi" w:cstheme="minorHAnsi"/>
                <w:b/>
                <w:bCs/>
                <w:color w:val="000000"/>
                <w:sz w:val="20"/>
              </w:rPr>
            </w:pPr>
          </w:p>
        </w:tc>
        <w:tc>
          <w:tcPr>
            <w:tcW w:w="1082" w:type="dxa"/>
            <w:shd w:val="clear" w:color="auto" w:fill="auto"/>
            <w:noWrap/>
            <w:vAlign w:val="bottom"/>
            <w:hideMark/>
          </w:tcPr>
          <w:p w14:paraId="31F156FE" w14:textId="77777777" w:rsidR="00CF3EDF" w:rsidRPr="00CF3EDF" w:rsidRDefault="00CF3EDF" w:rsidP="00F1700F">
            <w:pPr>
              <w:ind w:left="-107" w:right="-23"/>
              <w:jc w:val="center"/>
              <w:rPr>
                <w:rFonts w:asciiTheme="minorHAnsi" w:hAnsiTheme="minorHAnsi" w:cstheme="minorHAnsi"/>
                <w:b/>
                <w:bCs/>
                <w:color w:val="000000"/>
                <w:sz w:val="20"/>
              </w:rPr>
            </w:pPr>
            <w:r w:rsidRPr="00CF3EDF">
              <w:rPr>
                <w:rFonts w:asciiTheme="minorHAnsi" w:hAnsiTheme="minorHAnsi" w:cstheme="minorHAnsi"/>
                <w:b/>
                <w:bCs/>
                <w:color w:val="000000"/>
                <w:sz w:val="20"/>
              </w:rPr>
              <w:t xml:space="preserve"> </w:t>
            </w:r>
          </w:p>
        </w:tc>
        <w:tc>
          <w:tcPr>
            <w:tcW w:w="1098" w:type="dxa"/>
            <w:shd w:val="clear" w:color="000000" w:fill="D9E1F2"/>
            <w:noWrap/>
            <w:vAlign w:val="center"/>
            <w:hideMark/>
          </w:tcPr>
          <w:p w14:paraId="12A309C5" w14:textId="77777777" w:rsidR="00CF3EDF" w:rsidRPr="00CF3EDF" w:rsidRDefault="00CF3EDF" w:rsidP="00F1700F">
            <w:pPr>
              <w:ind w:left="-117"/>
              <w:jc w:val="center"/>
              <w:rPr>
                <w:rFonts w:asciiTheme="minorHAnsi" w:hAnsiTheme="minorHAnsi" w:cstheme="minorHAnsi"/>
                <w:b/>
                <w:bCs/>
                <w:color w:val="000000"/>
                <w:sz w:val="20"/>
                <w:u w:val="double"/>
              </w:rPr>
            </w:pPr>
            <w:r w:rsidRPr="00CF3EDF">
              <w:rPr>
                <w:rFonts w:asciiTheme="minorHAnsi" w:hAnsiTheme="minorHAnsi" w:cstheme="minorHAnsi"/>
                <w:b/>
                <w:bCs/>
                <w:color w:val="000000"/>
                <w:sz w:val="20"/>
                <w:u w:val="double"/>
              </w:rPr>
              <w:t>742</w:t>
            </w:r>
          </w:p>
        </w:tc>
        <w:tc>
          <w:tcPr>
            <w:tcW w:w="774" w:type="dxa"/>
            <w:shd w:val="clear" w:color="auto" w:fill="auto"/>
            <w:noWrap/>
            <w:vAlign w:val="center"/>
            <w:hideMark/>
          </w:tcPr>
          <w:p w14:paraId="13BA8696" w14:textId="77777777" w:rsidR="00CF3EDF" w:rsidRPr="00CF3EDF" w:rsidRDefault="00CF3EDF" w:rsidP="00CF3EDF">
            <w:pPr>
              <w:jc w:val="center"/>
              <w:rPr>
                <w:rFonts w:asciiTheme="minorHAnsi" w:hAnsiTheme="minorHAnsi" w:cstheme="minorHAnsi"/>
                <w:b/>
                <w:bCs/>
                <w:color w:val="000000"/>
                <w:sz w:val="20"/>
              </w:rPr>
            </w:pPr>
            <w:r w:rsidRPr="00CF3EDF">
              <w:rPr>
                <w:rFonts w:asciiTheme="minorHAnsi" w:hAnsiTheme="minorHAnsi" w:cstheme="minorHAnsi"/>
                <w:b/>
                <w:bCs/>
                <w:color w:val="000000"/>
                <w:sz w:val="20"/>
              </w:rPr>
              <w:t xml:space="preserve"> </w:t>
            </w:r>
          </w:p>
        </w:tc>
        <w:tc>
          <w:tcPr>
            <w:tcW w:w="1151" w:type="dxa"/>
            <w:shd w:val="clear" w:color="auto" w:fill="auto"/>
            <w:noWrap/>
            <w:vAlign w:val="center"/>
            <w:hideMark/>
          </w:tcPr>
          <w:p w14:paraId="75C9EEEC" w14:textId="77777777" w:rsidR="00CF3EDF" w:rsidRPr="00CF3EDF" w:rsidRDefault="00CF3EDF" w:rsidP="00CF3EDF">
            <w:pPr>
              <w:jc w:val="center"/>
              <w:rPr>
                <w:rFonts w:asciiTheme="minorHAnsi" w:hAnsiTheme="minorHAnsi" w:cstheme="minorHAnsi"/>
                <w:b/>
                <w:bCs/>
                <w:color w:val="000000"/>
                <w:sz w:val="20"/>
              </w:rPr>
            </w:pPr>
          </w:p>
        </w:tc>
        <w:tc>
          <w:tcPr>
            <w:tcW w:w="888" w:type="dxa"/>
            <w:shd w:val="clear" w:color="auto" w:fill="auto"/>
            <w:noWrap/>
            <w:vAlign w:val="center"/>
            <w:hideMark/>
          </w:tcPr>
          <w:p w14:paraId="5EDFCA0B" w14:textId="77777777" w:rsidR="00CF3EDF" w:rsidRPr="00CF3EDF" w:rsidRDefault="00CF3EDF" w:rsidP="00CF3EDF">
            <w:pPr>
              <w:jc w:val="center"/>
              <w:rPr>
                <w:rFonts w:asciiTheme="minorHAnsi" w:hAnsiTheme="minorHAnsi" w:cstheme="minorHAnsi"/>
                <w:sz w:val="20"/>
              </w:rPr>
            </w:pPr>
          </w:p>
        </w:tc>
        <w:tc>
          <w:tcPr>
            <w:tcW w:w="1210" w:type="dxa"/>
            <w:shd w:val="clear" w:color="auto" w:fill="auto"/>
            <w:noWrap/>
            <w:vAlign w:val="center"/>
            <w:hideMark/>
          </w:tcPr>
          <w:p w14:paraId="4A570101" w14:textId="77777777" w:rsidR="00CF3EDF" w:rsidRPr="00CF3EDF" w:rsidRDefault="00CF3EDF" w:rsidP="00CF3EDF">
            <w:pPr>
              <w:jc w:val="center"/>
              <w:rPr>
                <w:rFonts w:asciiTheme="minorHAnsi" w:hAnsiTheme="minorHAnsi" w:cstheme="minorHAnsi"/>
                <w:sz w:val="20"/>
              </w:rPr>
            </w:pPr>
          </w:p>
        </w:tc>
        <w:tc>
          <w:tcPr>
            <w:tcW w:w="774" w:type="dxa"/>
            <w:shd w:val="clear" w:color="auto" w:fill="auto"/>
            <w:noWrap/>
            <w:vAlign w:val="center"/>
            <w:hideMark/>
          </w:tcPr>
          <w:p w14:paraId="06CE6A9E" w14:textId="77777777" w:rsidR="00CF3EDF" w:rsidRPr="00CF3EDF" w:rsidRDefault="00CF3EDF" w:rsidP="00CF3EDF">
            <w:pPr>
              <w:jc w:val="center"/>
              <w:rPr>
                <w:rFonts w:asciiTheme="minorHAnsi" w:hAnsiTheme="minorHAnsi" w:cstheme="minorHAnsi"/>
                <w:sz w:val="20"/>
              </w:rPr>
            </w:pPr>
          </w:p>
        </w:tc>
        <w:tc>
          <w:tcPr>
            <w:tcW w:w="1406" w:type="dxa"/>
            <w:shd w:val="clear" w:color="000000" w:fill="D9E1F2"/>
            <w:noWrap/>
            <w:vAlign w:val="center"/>
            <w:hideMark/>
          </w:tcPr>
          <w:p w14:paraId="37DCEE6A" w14:textId="77777777" w:rsidR="00CF3EDF" w:rsidRPr="00CF3EDF" w:rsidRDefault="00CF3EDF" w:rsidP="00CF3EDF">
            <w:pPr>
              <w:jc w:val="center"/>
              <w:rPr>
                <w:rFonts w:asciiTheme="minorHAnsi" w:hAnsiTheme="minorHAnsi" w:cstheme="minorHAnsi"/>
                <w:b/>
                <w:bCs/>
                <w:color w:val="000000"/>
                <w:sz w:val="20"/>
                <w:u w:val="double"/>
              </w:rPr>
            </w:pPr>
            <w:r w:rsidRPr="00CF3EDF">
              <w:rPr>
                <w:rFonts w:asciiTheme="minorHAnsi" w:hAnsiTheme="minorHAnsi" w:cstheme="minorHAnsi"/>
                <w:b/>
                <w:bCs/>
                <w:color w:val="000000"/>
                <w:sz w:val="20"/>
                <w:u w:val="double"/>
              </w:rPr>
              <w:t>659</w:t>
            </w:r>
          </w:p>
        </w:tc>
        <w:tc>
          <w:tcPr>
            <w:tcW w:w="286" w:type="dxa"/>
            <w:shd w:val="clear" w:color="auto" w:fill="auto"/>
            <w:noWrap/>
            <w:vAlign w:val="bottom"/>
            <w:hideMark/>
          </w:tcPr>
          <w:p w14:paraId="31B32922" w14:textId="77777777" w:rsidR="00CF3EDF" w:rsidRPr="00CF3EDF" w:rsidRDefault="00CF3EDF" w:rsidP="00CF3EDF">
            <w:pPr>
              <w:jc w:val="center"/>
              <w:rPr>
                <w:rFonts w:asciiTheme="minorHAnsi" w:hAnsiTheme="minorHAnsi" w:cstheme="minorHAnsi"/>
                <w:b/>
                <w:bCs/>
                <w:color w:val="000000"/>
                <w:sz w:val="20"/>
              </w:rPr>
            </w:pPr>
          </w:p>
        </w:tc>
        <w:tc>
          <w:tcPr>
            <w:tcW w:w="1514" w:type="dxa"/>
            <w:shd w:val="clear" w:color="auto" w:fill="auto"/>
            <w:noWrap/>
            <w:vAlign w:val="bottom"/>
            <w:hideMark/>
          </w:tcPr>
          <w:p w14:paraId="413DC1E9" w14:textId="77777777" w:rsidR="00CF3EDF" w:rsidRPr="00CF3EDF" w:rsidRDefault="00CF3EDF" w:rsidP="00CF3EDF">
            <w:pPr>
              <w:rPr>
                <w:rFonts w:asciiTheme="minorHAnsi" w:hAnsiTheme="minorHAnsi" w:cstheme="minorHAnsi"/>
                <w:sz w:val="20"/>
              </w:rPr>
            </w:pPr>
          </w:p>
        </w:tc>
        <w:tc>
          <w:tcPr>
            <w:tcW w:w="774" w:type="dxa"/>
            <w:shd w:val="clear" w:color="000000" w:fill="D9E1F2"/>
            <w:noWrap/>
            <w:vAlign w:val="center"/>
            <w:hideMark/>
          </w:tcPr>
          <w:p w14:paraId="7944E933" w14:textId="77777777" w:rsidR="00CF3EDF" w:rsidRPr="00CF3EDF" w:rsidRDefault="00CF3EDF" w:rsidP="00CF3EDF">
            <w:pPr>
              <w:jc w:val="center"/>
              <w:rPr>
                <w:rFonts w:asciiTheme="minorHAnsi" w:hAnsiTheme="minorHAnsi" w:cstheme="minorHAnsi"/>
                <w:b/>
                <w:bCs/>
                <w:color w:val="000000"/>
                <w:sz w:val="20"/>
                <w:u w:val="double"/>
              </w:rPr>
            </w:pPr>
            <w:r w:rsidRPr="00CF3EDF">
              <w:rPr>
                <w:rFonts w:asciiTheme="minorHAnsi" w:hAnsiTheme="minorHAnsi" w:cstheme="minorHAnsi"/>
                <w:b/>
                <w:bCs/>
                <w:color w:val="000000"/>
                <w:sz w:val="20"/>
                <w:u w:val="double"/>
              </w:rPr>
              <w:t>700</w:t>
            </w:r>
          </w:p>
        </w:tc>
        <w:tc>
          <w:tcPr>
            <w:tcW w:w="882" w:type="dxa"/>
            <w:shd w:val="clear" w:color="auto" w:fill="auto"/>
            <w:noWrap/>
            <w:vAlign w:val="bottom"/>
            <w:hideMark/>
          </w:tcPr>
          <w:p w14:paraId="63B33665" w14:textId="77777777" w:rsidR="00CF3EDF" w:rsidRPr="00CF3EDF" w:rsidRDefault="00CF3EDF" w:rsidP="00CF3EDF">
            <w:pPr>
              <w:jc w:val="center"/>
              <w:rPr>
                <w:rFonts w:asciiTheme="minorHAnsi" w:hAnsiTheme="minorHAnsi" w:cstheme="minorHAnsi"/>
                <w:b/>
                <w:bCs/>
                <w:color w:val="000000"/>
                <w:sz w:val="20"/>
              </w:rPr>
            </w:pPr>
            <w:r w:rsidRPr="00CF3EDF">
              <w:rPr>
                <w:rFonts w:asciiTheme="minorHAnsi" w:hAnsiTheme="minorHAnsi" w:cstheme="minorHAnsi"/>
                <w:b/>
                <w:bCs/>
                <w:color w:val="000000"/>
                <w:sz w:val="20"/>
              </w:rPr>
              <w:t xml:space="preserve"> </w:t>
            </w:r>
          </w:p>
        </w:tc>
        <w:tc>
          <w:tcPr>
            <w:tcW w:w="1064" w:type="dxa"/>
            <w:shd w:val="clear" w:color="auto" w:fill="auto"/>
            <w:noWrap/>
            <w:vAlign w:val="bottom"/>
            <w:hideMark/>
          </w:tcPr>
          <w:p w14:paraId="6D3ABE0B" w14:textId="77777777" w:rsidR="00CF3EDF" w:rsidRPr="00CF3EDF" w:rsidRDefault="00CF3EDF" w:rsidP="00CF3EDF">
            <w:pPr>
              <w:jc w:val="center"/>
              <w:rPr>
                <w:rFonts w:asciiTheme="minorHAnsi" w:hAnsiTheme="minorHAnsi" w:cstheme="minorHAnsi"/>
                <w:b/>
                <w:bCs/>
                <w:color w:val="000000"/>
                <w:sz w:val="20"/>
              </w:rPr>
            </w:pPr>
          </w:p>
        </w:tc>
        <w:tc>
          <w:tcPr>
            <w:tcW w:w="1868" w:type="dxa"/>
            <w:shd w:val="clear" w:color="000000" w:fill="D9E1F2"/>
            <w:noWrap/>
            <w:vAlign w:val="center"/>
            <w:hideMark/>
          </w:tcPr>
          <w:p w14:paraId="0199A7C8" w14:textId="65DDB9EB" w:rsidR="00CF3EDF" w:rsidRPr="00CF3EDF" w:rsidRDefault="00CF3EDF" w:rsidP="00CF3EDF">
            <w:pPr>
              <w:jc w:val="center"/>
              <w:rPr>
                <w:rFonts w:asciiTheme="minorHAnsi" w:hAnsiTheme="minorHAnsi" w:cstheme="minorHAnsi"/>
                <w:b/>
                <w:bCs/>
                <w:color w:val="000000"/>
                <w:sz w:val="20"/>
                <w:u w:val="double"/>
              </w:rPr>
            </w:pPr>
            <w:r w:rsidRPr="00CF3EDF">
              <w:rPr>
                <w:rFonts w:asciiTheme="minorHAnsi" w:hAnsiTheme="minorHAnsi" w:cstheme="minorHAnsi"/>
                <w:b/>
                <w:bCs/>
                <w:color w:val="000000"/>
                <w:sz w:val="20"/>
                <w:u w:val="double"/>
              </w:rPr>
              <w:t>648</w:t>
            </w:r>
          </w:p>
        </w:tc>
      </w:tr>
    </w:tbl>
    <w:p w14:paraId="7574BEB8" w14:textId="77777777" w:rsidR="00CF3EDF" w:rsidRDefault="00CF3EDF"/>
    <w:p w14:paraId="1AC59920" w14:textId="77777777" w:rsidR="00CF3EDF" w:rsidRPr="007849E5" w:rsidRDefault="00CF3EDF" w:rsidP="00CF3EDF">
      <w:pPr>
        <w:rPr>
          <w:b/>
        </w:rPr>
      </w:pPr>
      <w:r w:rsidRPr="007849E5">
        <w:rPr>
          <w:b/>
        </w:rPr>
        <w:t xml:space="preserve">Notes: </w:t>
      </w:r>
    </w:p>
    <w:p w14:paraId="688B1682" w14:textId="77777777" w:rsidR="008024BF" w:rsidRDefault="008024BF" w:rsidP="00CF3EDF"/>
    <w:p w14:paraId="299012E7" w14:textId="6AC96BC9" w:rsidR="00CF3EDF" w:rsidRDefault="00CF3EDF" w:rsidP="00CF3EDF">
      <w:r>
        <w:t xml:space="preserve">Only the cost proposals for the top </w:t>
      </w:r>
      <w:r w:rsidR="00261318">
        <w:t>four</w:t>
      </w:r>
      <w:r>
        <w:t xml:space="preserve"> scoring vendors in the general and technical portion were reviewed and scored. Although </w:t>
      </w:r>
      <w:r w:rsidR="00261318">
        <w:t>BayInfotech</w:t>
      </w:r>
      <w:r>
        <w:t xml:space="preserve"> received the highest overall score after the cost scores were added, the committee recommended </w:t>
      </w:r>
      <w:r w:rsidR="00261318">
        <w:t>Linea</w:t>
      </w:r>
      <w:r>
        <w:t xml:space="preserve"> </w:t>
      </w:r>
      <w:r w:rsidR="00D6718D">
        <w:t xml:space="preserve">for the contract </w:t>
      </w:r>
      <w:r>
        <w:t xml:space="preserve">because </w:t>
      </w:r>
      <w:r w:rsidR="00261318">
        <w:t>Linea</w:t>
      </w:r>
      <w:r>
        <w:t xml:space="preserve"> had scored better in the general and technical sections. There is no requirement to award the contract to the vendor who scored the most points. </w:t>
      </w:r>
    </w:p>
    <w:p w14:paraId="147333AF" w14:textId="77777777" w:rsidR="00D6718D" w:rsidRDefault="00D6718D">
      <w:pPr>
        <w:sectPr w:rsidR="00D6718D" w:rsidSect="00AE0421">
          <w:pgSz w:w="20160" w:h="12240" w:orient="landscape" w:code="5"/>
          <w:pgMar w:top="1152" w:right="547" w:bottom="1152" w:left="720" w:header="720" w:footer="720" w:gutter="0"/>
          <w:cols w:space="720"/>
          <w:docGrid w:linePitch="299"/>
        </w:sectPr>
      </w:pPr>
    </w:p>
    <w:p w14:paraId="134A6D8E" w14:textId="3EF69306" w:rsidR="00601221" w:rsidRDefault="00601221">
      <w:pPr>
        <w:rPr>
          <w:rFonts w:cs="Arial"/>
          <w:b/>
          <w:bCs/>
          <w:color w:val="000000"/>
          <w:sz w:val="18"/>
          <w:szCs w:val="18"/>
        </w:rPr>
      </w:pPr>
    </w:p>
    <w:p w14:paraId="38991528" w14:textId="409C1630" w:rsidR="00E56B11" w:rsidRPr="00CF3EDF" w:rsidRDefault="00601221" w:rsidP="00CF3EDF">
      <w:pPr>
        <w:jc w:val="center"/>
        <w:rPr>
          <w:rFonts w:cs="Arial"/>
          <w:b/>
          <w:bCs/>
          <w:color w:val="0070C0"/>
          <w:sz w:val="24"/>
          <w:szCs w:val="24"/>
        </w:rPr>
      </w:pPr>
      <w:r w:rsidRPr="00CF3EDF">
        <w:rPr>
          <w:rFonts w:cs="Arial"/>
          <w:b/>
          <w:bCs/>
          <w:color w:val="0070C0"/>
          <w:sz w:val="24"/>
          <w:szCs w:val="24"/>
        </w:rPr>
        <w:t>Vendor Procurement Appeals Policy</w:t>
      </w:r>
    </w:p>
    <w:p w14:paraId="5A20E0ED" w14:textId="77777777" w:rsidR="00E56B11" w:rsidRDefault="00E56B11" w:rsidP="004358C3">
      <w:pPr>
        <w:rPr>
          <w:rFonts w:cs="Arial"/>
          <w:b/>
          <w:bCs/>
          <w:color w:val="000000"/>
          <w:sz w:val="18"/>
          <w:szCs w:val="18"/>
        </w:rPr>
      </w:pPr>
    </w:p>
    <w:p w14:paraId="6469F91F" w14:textId="77777777" w:rsidR="009F3B57" w:rsidRDefault="009F3B57" w:rsidP="004358C3">
      <w:pPr>
        <w:rPr>
          <w:rFonts w:cs="Arial"/>
          <w:b/>
          <w:bCs/>
          <w:color w:val="000000"/>
          <w:szCs w:val="22"/>
        </w:rPr>
      </w:pPr>
    </w:p>
    <w:p w14:paraId="1D135324" w14:textId="4D0F70DF" w:rsidR="00601221" w:rsidRPr="00CF3EDF" w:rsidRDefault="00601221" w:rsidP="004358C3">
      <w:pPr>
        <w:rPr>
          <w:rFonts w:cs="Arial"/>
          <w:b/>
          <w:bCs/>
          <w:color w:val="000000"/>
          <w:szCs w:val="22"/>
        </w:rPr>
      </w:pPr>
      <w:r w:rsidRPr="00CF3EDF">
        <w:rPr>
          <w:rFonts w:cs="Arial"/>
          <w:b/>
          <w:bCs/>
          <w:color w:val="000000"/>
          <w:szCs w:val="22"/>
        </w:rPr>
        <w:t xml:space="preserve">Contracting Authority:  Employee Trust Funds Board - WIS. STAT. § 40.03(1)(c) </w:t>
      </w:r>
    </w:p>
    <w:p w14:paraId="6461D279" w14:textId="77777777" w:rsidR="00601221" w:rsidRPr="00CF3EDF" w:rsidRDefault="00601221" w:rsidP="004358C3">
      <w:pPr>
        <w:rPr>
          <w:rFonts w:cs="Arial"/>
          <w:b/>
          <w:bCs/>
          <w:color w:val="000000"/>
          <w:szCs w:val="22"/>
        </w:rPr>
      </w:pPr>
    </w:p>
    <w:p w14:paraId="08F1451F" w14:textId="77777777" w:rsidR="00601221" w:rsidRPr="00CF3EDF" w:rsidRDefault="00601221" w:rsidP="004358C3">
      <w:pPr>
        <w:rPr>
          <w:rFonts w:cs="Arial"/>
          <w:b/>
          <w:bCs/>
          <w:color w:val="000000"/>
          <w:szCs w:val="22"/>
        </w:rPr>
      </w:pPr>
      <w:r w:rsidRPr="00CF3EDF">
        <w:rPr>
          <w:rFonts w:cs="Arial"/>
          <w:b/>
          <w:bCs/>
          <w:color w:val="000000"/>
          <w:szCs w:val="22"/>
        </w:rPr>
        <w:t xml:space="preserve">PHASE ONE: Notice of Intent to Appeal Received by a Board c/o ETF Secretary  </w:t>
      </w:r>
    </w:p>
    <w:p w14:paraId="23762E61" w14:textId="77777777" w:rsidR="00601221" w:rsidRPr="00CF3EDF" w:rsidRDefault="00601221" w:rsidP="004358C3">
      <w:pPr>
        <w:rPr>
          <w:rFonts w:cs="Arial"/>
          <w:b/>
          <w:bCs/>
          <w:color w:val="000000"/>
          <w:szCs w:val="22"/>
        </w:rPr>
      </w:pPr>
    </w:p>
    <w:p w14:paraId="69BABC62" w14:textId="383BFDCF" w:rsidR="00601221" w:rsidRPr="00CF3EDF" w:rsidRDefault="00601221" w:rsidP="00E56B11">
      <w:pPr>
        <w:pStyle w:val="ListParagraph"/>
        <w:numPr>
          <w:ilvl w:val="0"/>
          <w:numId w:val="7"/>
        </w:numPr>
        <w:rPr>
          <w:rFonts w:cs="Arial"/>
          <w:b/>
          <w:bCs/>
          <w:color w:val="000000"/>
          <w:szCs w:val="22"/>
        </w:rPr>
      </w:pPr>
      <w:r w:rsidRPr="00CF3EDF">
        <w:rPr>
          <w:rFonts w:cs="Arial"/>
          <w:b/>
          <w:bCs/>
          <w:color w:val="000000"/>
          <w:szCs w:val="22"/>
        </w:rPr>
        <w:t xml:space="preserve">The Board authorizes ETF staff to issue the “Intent to Award” to the successful bidder.  </w:t>
      </w:r>
    </w:p>
    <w:p w14:paraId="5933EDF0" w14:textId="77777777" w:rsidR="00E56B11" w:rsidRPr="00CF3EDF" w:rsidRDefault="00E56B11" w:rsidP="00E56B11">
      <w:pPr>
        <w:pStyle w:val="ListParagraph"/>
        <w:rPr>
          <w:rFonts w:cs="Arial"/>
          <w:b/>
          <w:bCs/>
          <w:color w:val="000000"/>
          <w:szCs w:val="22"/>
        </w:rPr>
      </w:pPr>
    </w:p>
    <w:p w14:paraId="301773A1" w14:textId="110C8819" w:rsidR="00601221" w:rsidRPr="00CF3EDF" w:rsidRDefault="00601221" w:rsidP="00E56B11">
      <w:pPr>
        <w:pStyle w:val="ListParagraph"/>
        <w:numPr>
          <w:ilvl w:val="0"/>
          <w:numId w:val="7"/>
        </w:numPr>
        <w:rPr>
          <w:rFonts w:cs="Arial"/>
          <w:b/>
          <w:bCs/>
          <w:color w:val="000000"/>
          <w:szCs w:val="22"/>
        </w:rPr>
      </w:pPr>
      <w:r w:rsidRPr="00CF3EDF">
        <w:rPr>
          <w:rFonts w:cs="Arial"/>
          <w:b/>
          <w:bCs/>
          <w:color w:val="000000"/>
          <w:szCs w:val="22"/>
        </w:rPr>
        <w:t xml:space="preserve">ETF staff issue the Intent to Award to the successful bidder and notify all firms who submitted a bid.  </w:t>
      </w:r>
    </w:p>
    <w:p w14:paraId="788835C7" w14:textId="77777777" w:rsidR="00E56B11" w:rsidRPr="00CF3EDF" w:rsidRDefault="00E56B11" w:rsidP="00E56B11">
      <w:pPr>
        <w:pStyle w:val="ListParagraph"/>
        <w:rPr>
          <w:rFonts w:cs="Arial"/>
          <w:b/>
          <w:bCs/>
          <w:color w:val="000000"/>
          <w:szCs w:val="22"/>
        </w:rPr>
      </w:pPr>
    </w:p>
    <w:p w14:paraId="561E076B" w14:textId="1C1FE8E7" w:rsidR="00601221" w:rsidRPr="00CF3EDF" w:rsidRDefault="00601221" w:rsidP="00E56B11">
      <w:pPr>
        <w:pStyle w:val="ListParagraph"/>
        <w:numPr>
          <w:ilvl w:val="0"/>
          <w:numId w:val="7"/>
        </w:numPr>
        <w:rPr>
          <w:rFonts w:cs="Arial"/>
          <w:b/>
          <w:bCs/>
          <w:color w:val="000000"/>
          <w:szCs w:val="22"/>
        </w:rPr>
      </w:pPr>
      <w:r w:rsidRPr="00CF3EDF">
        <w:rPr>
          <w:rFonts w:cs="Arial"/>
          <w:b/>
          <w:bCs/>
          <w:color w:val="000000"/>
          <w:szCs w:val="22"/>
        </w:rPr>
        <w:t xml:space="preserve">A vendor who wants to appeal the award MUST send a written notice indicating that the vendor intends to appeal the decision. The vendor must send the notice to the Board, c/o the secretary of ETF, within five business days after the Intent to Award notice is sent.  </w:t>
      </w:r>
    </w:p>
    <w:p w14:paraId="017E7E08" w14:textId="77777777" w:rsidR="00E56B11" w:rsidRPr="00CF3EDF" w:rsidRDefault="00E56B11" w:rsidP="00E56B11">
      <w:pPr>
        <w:pStyle w:val="ListParagraph"/>
        <w:rPr>
          <w:rFonts w:cs="Arial"/>
          <w:b/>
          <w:bCs/>
          <w:color w:val="000000"/>
          <w:szCs w:val="22"/>
        </w:rPr>
      </w:pPr>
    </w:p>
    <w:p w14:paraId="649C8A8F" w14:textId="22CF1A31" w:rsidR="00E56B11" w:rsidRPr="00CF3EDF" w:rsidRDefault="00E56B11" w:rsidP="00E56B11">
      <w:pPr>
        <w:ind w:left="720"/>
        <w:rPr>
          <w:rFonts w:cs="Arial"/>
          <w:b/>
          <w:bCs/>
          <w:color w:val="000000"/>
          <w:szCs w:val="22"/>
        </w:rPr>
      </w:pPr>
      <w:r w:rsidRPr="00CF3EDF">
        <w:rPr>
          <w:rFonts w:cs="Arial"/>
          <w:b/>
          <w:bCs/>
          <w:color w:val="000000"/>
          <w:szCs w:val="22"/>
        </w:rPr>
        <w:t>Notices must be emailed to:</w:t>
      </w:r>
    </w:p>
    <w:p w14:paraId="4C8B83FA" w14:textId="0B590E29" w:rsidR="00E56B11" w:rsidRPr="00CF3EDF" w:rsidRDefault="00E56B11" w:rsidP="00E56B11">
      <w:pPr>
        <w:ind w:left="720"/>
        <w:rPr>
          <w:rFonts w:cs="Arial"/>
          <w:color w:val="0000FF"/>
          <w:szCs w:val="22"/>
        </w:rPr>
      </w:pPr>
      <w:r w:rsidRPr="00CF3EDF">
        <w:rPr>
          <w:rFonts w:cs="Arial"/>
          <w:color w:val="0000FF"/>
          <w:szCs w:val="22"/>
        </w:rPr>
        <w:t xml:space="preserve">ETFSMBProcurementAppeals@etf.wi.gov  </w:t>
      </w:r>
      <w:r w:rsidRPr="00CF3EDF">
        <w:rPr>
          <w:rFonts w:cs="Arial"/>
          <w:color w:val="000000"/>
          <w:szCs w:val="22"/>
        </w:rPr>
        <w:t xml:space="preserve">AND  </w:t>
      </w:r>
      <w:hyperlink r:id="rId13" w:history="1">
        <w:r w:rsidRPr="00CF3EDF">
          <w:rPr>
            <w:rStyle w:val="Hyperlink"/>
            <w:rFonts w:cs="Arial"/>
            <w:szCs w:val="22"/>
          </w:rPr>
          <w:t>ETFSMBProcurement@etf.wi.gov</w:t>
        </w:r>
      </w:hyperlink>
    </w:p>
    <w:p w14:paraId="27C36158" w14:textId="77777777" w:rsidR="00E56B11" w:rsidRPr="00CF3EDF" w:rsidRDefault="00E56B11" w:rsidP="00E56B11">
      <w:pPr>
        <w:ind w:left="360"/>
        <w:rPr>
          <w:rFonts w:cs="Arial"/>
          <w:b/>
          <w:bCs/>
          <w:color w:val="000000"/>
          <w:szCs w:val="22"/>
        </w:rPr>
      </w:pPr>
    </w:p>
    <w:p w14:paraId="57CE824D" w14:textId="2CBDD93D" w:rsidR="00E56B11" w:rsidRPr="00CF3EDF" w:rsidRDefault="00601221" w:rsidP="00E56B11">
      <w:pPr>
        <w:pStyle w:val="ListParagraph"/>
        <w:numPr>
          <w:ilvl w:val="0"/>
          <w:numId w:val="7"/>
        </w:numPr>
        <w:rPr>
          <w:rFonts w:cs="Arial"/>
          <w:b/>
          <w:bCs/>
          <w:color w:val="000000"/>
          <w:szCs w:val="22"/>
        </w:rPr>
      </w:pPr>
      <w:r w:rsidRPr="00CF3EDF">
        <w:rPr>
          <w:rFonts w:cs="Arial"/>
          <w:b/>
          <w:bCs/>
          <w:color w:val="000000"/>
          <w:szCs w:val="22"/>
        </w:rPr>
        <w:t xml:space="preserve">Upon receiving the written intent to appeal from the vendor, the ETF secretary will forward the notice to all Board members.  </w:t>
      </w:r>
    </w:p>
    <w:p w14:paraId="773F8193" w14:textId="77777777" w:rsidR="00E56B11" w:rsidRPr="00CF3EDF" w:rsidRDefault="00E56B11" w:rsidP="004358C3">
      <w:pPr>
        <w:rPr>
          <w:rFonts w:cs="Arial"/>
          <w:b/>
          <w:bCs/>
          <w:color w:val="000000"/>
          <w:szCs w:val="22"/>
        </w:rPr>
      </w:pPr>
    </w:p>
    <w:p w14:paraId="4FCFD4E8" w14:textId="2869A083" w:rsidR="00601221" w:rsidRPr="00CF3EDF" w:rsidRDefault="00601221" w:rsidP="004358C3">
      <w:pPr>
        <w:rPr>
          <w:rFonts w:cs="Arial"/>
          <w:b/>
          <w:bCs/>
          <w:color w:val="000000"/>
          <w:szCs w:val="22"/>
        </w:rPr>
      </w:pPr>
      <w:r w:rsidRPr="00CF3EDF">
        <w:rPr>
          <w:rFonts w:cs="Arial"/>
          <w:b/>
          <w:bCs/>
          <w:color w:val="000000"/>
          <w:szCs w:val="22"/>
        </w:rPr>
        <w:t xml:space="preserve">PHASE TWO: Formal Appeal Received by the Board c/o ETF Secretary  </w:t>
      </w:r>
    </w:p>
    <w:p w14:paraId="0F4BFDC8" w14:textId="77777777" w:rsidR="00E56B11" w:rsidRPr="00CF3EDF" w:rsidRDefault="00E56B11" w:rsidP="004358C3">
      <w:pPr>
        <w:rPr>
          <w:rFonts w:cs="Arial"/>
          <w:b/>
          <w:bCs/>
          <w:color w:val="000000"/>
          <w:szCs w:val="22"/>
        </w:rPr>
      </w:pPr>
    </w:p>
    <w:p w14:paraId="6FB404DF" w14:textId="4D6E29C6" w:rsidR="00601221" w:rsidRPr="00CF3EDF" w:rsidRDefault="00601221" w:rsidP="00CF3EDF">
      <w:pPr>
        <w:pStyle w:val="ListParagraph"/>
        <w:numPr>
          <w:ilvl w:val="0"/>
          <w:numId w:val="7"/>
        </w:numPr>
        <w:rPr>
          <w:rFonts w:cs="Arial"/>
          <w:b/>
          <w:bCs/>
          <w:color w:val="000000"/>
          <w:szCs w:val="22"/>
        </w:rPr>
      </w:pPr>
      <w:r w:rsidRPr="00CF3EDF">
        <w:rPr>
          <w:rFonts w:cs="Arial"/>
          <w:b/>
          <w:bCs/>
          <w:color w:val="000000"/>
          <w:szCs w:val="22"/>
        </w:rPr>
        <w:t xml:space="preserve">Within 10 business days from the issuance of the Intent to Award, the vendor MUST submit the formal appeal in writing to the Board, c/o the secretary of ETF. </w:t>
      </w:r>
    </w:p>
    <w:p w14:paraId="00F4E126" w14:textId="77777777" w:rsidR="00CF3EDF" w:rsidRPr="00CF3EDF" w:rsidRDefault="00CF3EDF" w:rsidP="00CF3EDF">
      <w:pPr>
        <w:pStyle w:val="ListParagraph"/>
        <w:rPr>
          <w:rFonts w:cs="Arial"/>
          <w:b/>
          <w:bCs/>
          <w:color w:val="000000"/>
          <w:szCs w:val="22"/>
        </w:rPr>
      </w:pPr>
    </w:p>
    <w:p w14:paraId="66318C4A" w14:textId="06C60F06" w:rsidR="00E56B11" w:rsidRPr="00CF3EDF" w:rsidRDefault="00601221" w:rsidP="00CF3EDF">
      <w:pPr>
        <w:pStyle w:val="ListParagraph"/>
        <w:numPr>
          <w:ilvl w:val="0"/>
          <w:numId w:val="7"/>
        </w:numPr>
        <w:rPr>
          <w:rFonts w:cs="Arial"/>
          <w:b/>
          <w:bCs/>
          <w:color w:val="000000"/>
          <w:szCs w:val="22"/>
        </w:rPr>
      </w:pPr>
      <w:r w:rsidRPr="00CF3EDF">
        <w:rPr>
          <w:rFonts w:cs="Arial"/>
          <w:b/>
          <w:bCs/>
          <w:color w:val="000000"/>
          <w:szCs w:val="22"/>
        </w:rPr>
        <w:t xml:space="preserve">The appeal must state the contract number, detailed factual grounds for the objection to the contract award, and any violations of Chapter 40, Wisconsin Statutes. </w:t>
      </w:r>
    </w:p>
    <w:p w14:paraId="2DC2840A" w14:textId="77777777" w:rsidR="00CF3EDF" w:rsidRPr="00CF3EDF" w:rsidRDefault="00CF3EDF" w:rsidP="00CF3EDF">
      <w:pPr>
        <w:pStyle w:val="ListParagraph"/>
        <w:rPr>
          <w:rFonts w:cs="Arial"/>
          <w:b/>
          <w:bCs/>
          <w:color w:val="000000"/>
          <w:szCs w:val="22"/>
        </w:rPr>
      </w:pPr>
    </w:p>
    <w:p w14:paraId="21400BE1" w14:textId="311471EF" w:rsidR="00CF3EDF" w:rsidRPr="00CF3EDF" w:rsidRDefault="00601221" w:rsidP="00CF3EDF">
      <w:pPr>
        <w:pStyle w:val="ListParagraph"/>
        <w:numPr>
          <w:ilvl w:val="0"/>
          <w:numId w:val="7"/>
        </w:numPr>
        <w:rPr>
          <w:rFonts w:cs="Arial"/>
          <w:b/>
          <w:bCs/>
          <w:color w:val="000000"/>
          <w:szCs w:val="22"/>
        </w:rPr>
      </w:pPr>
      <w:r w:rsidRPr="00CF3EDF">
        <w:rPr>
          <w:rFonts w:cs="Arial"/>
          <w:b/>
          <w:bCs/>
          <w:color w:val="000000"/>
          <w:szCs w:val="22"/>
        </w:rPr>
        <w:t xml:space="preserve">The secretary will forward the formal appeal to the Board. </w:t>
      </w:r>
    </w:p>
    <w:p w14:paraId="761049FA" w14:textId="77777777" w:rsidR="00CF3EDF" w:rsidRPr="00CF3EDF" w:rsidRDefault="00CF3EDF" w:rsidP="00CF3EDF">
      <w:pPr>
        <w:pStyle w:val="ListParagraph"/>
        <w:rPr>
          <w:rFonts w:cs="Arial"/>
          <w:b/>
          <w:bCs/>
          <w:color w:val="000000"/>
          <w:szCs w:val="22"/>
        </w:rPr>
      </w:pPr>
    </w:p>
    <w:p w14:paraId="27892D2C" w14:textId="5D2CFD15" w:rsidR="00601221" w:rsidRPr="00CF3EDF" w:rsidRDefault="00601221" w:rsidP="00CF3EDF">
      <w:pPr>
        <w:pStyle w:val="ListParagraph"/>
        <w:numPr>
          <w:ilvl w:val="0"/>
          <w:numId w:val="7"/>
        </w:numPr>
        <w:rPr>
          <w:rFonts w:cs="Arial"/>
          <w:b/>
          <w:bCs/>
          <w:color w:val="000000"/>
          <w:szCs w:val="22"/>
        </w:rPr>
      </w:pPr>
      <w:r w:rsidRPr="00CF3EDF">
        <w:rPr>
          <w:rFonts w:cs="Arial"/>
          <w:b/>
          <w:bCs/>
          <w:color w:val="000000"/>
          <w:szCs w:val="22"/>
        </w:rPr>
        <w:t xml:space="preserve">If the vendor withdraws the intention to appeal or does not follow up within ten business days with a formal appeal, the ETF secretary will notify the Board that the matter is adjudicated, and no Board action is required.  </w:t>
      </w:r>
    </w:p>
    <w:p w14:paraId="2AC0E253" w14:textId="77777777" w:rsidR="00CF3EDF" w:rsidRPr="00CF3EDF" w:rsidRDefault="00CF3EDF" w:rsidP="00CF3EDF">
      <w:pPr>
        <w:pStyle w:val="ListParagraph"/>
        <w:rPr>
          <w:rFonts w:cs="Arial"/>
          <w:b/>
          <w:bCs/>
          <w:color w:val="000000"/>
          <w:szCs w:val="22"/>
        </w:rPr>
      </w:pPr>
    </w:p>
    <w:p w14:paraId="16416163" w14:textId="265DDC77" w:rsidR="00601221" w:rsidRPr="00CF3EDF" w:rsidRDefault="00601221" w:rsidP="00CF3EDF">
      <w:pPr>
        <w:pStyle w:val="ListParagraph"/>
        <w:numPr>
          <w:ilvl w:val="0"/>
          <w:numId w:val="7"/>
        </w:numPr>
        <w:rPr>
          <w:rFonts w:cs="Arial"/>
          <w:b/>
          <w:bCs/>
          <w:color w:val="000000"/>
          <w:szCs w:val="22"/>
        </w:rPr>
      </w:pPr>
      <w:r w:rsidRPr="00CF3EDF">
        <w:rPr>
          <w:rFonts w:cs="Arial"/>
          <w:b/>
          <w:bCs/>
          <w:color w:val="000000"/>
          <w:szCs w:val="22"/>
        </w:rPr>
        <w:t xml:space="preserve">All communications and documentation will be maintained with the procurement file.  </w:t>
      </w:r>
    </w:p>
    <w:p w14:paraId="1B496CD7" w14:textId="77777777" w:rsidR="00CF3EDF" w:rsidRPr="00CF3EDF" w:rsidRDefault="00CF3EDF" w:rsidP="00CF3EDF">
      <w:pPr>
        <w:pStyle w:val="ListParagraph"/>
        <w:rPr>
          <w:rFonts w:cs="Arial"/>
          <w:b/>
          <w:bCs/>
          <w:color w:val="000000"/>
          <w:szCs w:val="22"/>
        </w:rPr>
      </w:pPr>
    </w:p>
    <w:p w14:paraId="74C6223E" w14:textId="462ADA92" w:rsidR="00601221" w:rsidRPr="00CF3EDF" w:rsidRDefault="00601221" w:rsidP="00CF3EDF">
      <w:pPr>
        <w:pStyle w:val="ListParagraph"/>
        <w:numPr>
          <w:ilvl w:val="0"/>
          <w:numId w:val="7"/>
        </w:numPr>
        <w:rPr>
          <w:rFonts w:cs="Arial"/>
          <w:b/>
          <w:bCs/>
          <w:color w:val="000000"/>
          <w:szCs w:val="22"/>
        </w:rPr>
      </w:pPr>
      <w:r w:rsidRPr="00CF3EDF">
        <w:rPr>
          <w:rFonts w:cs="Arial"/>
          <w:b/>
          <w:bCs/>
          <w:color w:val="000000"/>
          <w:szCs w:val="22"/>
        </w:rPr>
        <w:t xml:space="preserve">The ETF secretary will direct ETF general counsel and the ETF director of the Bureau of Budget, Contract Administration and Procurement to investigate the alleged violation of Chapter 40.  </w:t>
      </w:r>
    </w:p>
    <w:p w14:paraId="75225CBE" w14:textId="77777777" w:rsidR="00CF3EDF" w:rsidRPr="00CF3EDF" w:rsidRDefault="00CF3EDF" w:rsidP="00CF3EDF">
      <w:pPr>
        <w:pStyle w:val="ListParagraph"/>
        <w:rPr>
          <w:rFonts w:cs="Arial"/>
          <w:b/>
          <w:bCs/>
          <w:color w:val="000000"/>
          <w:szCs w:val="22"/>
        </w:rPr>
      </w:pPr>
    </w:p>
    <w:p w14:paraId="4633DAC2" w14:textId="544959EC" w:rsidR="00E56B11" w:rsidRPr="00CF3EDF" w:rsidRDefault="00601221" w:rsidP="00CF3EDF">
      <w:pPr>
        <w:pStyle w:val="ListParagraph"/>
        <w:numPr>
          <w:ilvl w:val="0"/>
          <w:numId w:val="7"/>
        </w:numPr>
        <w:rPr>
          <w:rFonts w:cs="Arial"/>
          <w:b/>
          <w:bCs/>
          <w:color w:val="000000"/>
          <w:szCs w:val="22"/>
        </w:rPr>
      </w:pPr>
      <w:r w:rsidRPr="00CF3EDF">
        <w:rPr>
          <w:rFonts w:cs="Arial"/>
          <w:b/>
          <w:bCs/>
          <w:color w:val="000000"/>
          <w:szCs w:val="22"/>
        </w:rPr>
        <w:lastRenderedPageBreak/>
        <w:t xml:space="preserve">The secretary will forward the results of the investigation to the Board and include a recommendation to the Board as well as legal and factual support for the recommendation.  </w:t>
      </w:r>
    </w:p>
    <w:p w14:paraId="1014E6F0" w14:textId="77777777" w:rsidR="00CF3EDF" w:rsidRPr="00CF3EDF" w:rsidRDefault="00CF3EDF" w:rsidP="00CF3EDF">
      <w:pPr>
        <w:pStyle w:val="ListParagraph"/>
        <w:rPr>
          <w:rFonts w:cs="Arial"/>
          <w:b/>
          <w:bCs/>
          <w:color w:val="000000"/>
          <w:szCs w:val="22"/>
        </w:rPr>
      </w:pPr>
    </w:p>
    <w:p w14:paraId="7C308956" w14:textId="77777777" w:rsidR="00E56B11" w:rsidRPr="00CF3EDF" w:rsidRDefault="00601221" w:rsidP="004358C3">
      <w:pPr>
        <w:rPr>
          <w:rFonts w:cs="Arial"/>
          <w:b/>
          <w:bCs/>
          <w:color w:val="000000"/>
          <w:szCs w:val="22"/>
        </w:rPr>
      </w:pPr>
      <w:r w:rsidRPr="00CF3EDF">
        <w:rPr>
          <w:rFonts w:cs="Arial"/>
          <w:b/>
          <w:bCs/>
          <w:color w:val="000000"/>
          <w:szCs w:val="22"/>
        </w:rPr>
        <w:t xml:space="preserve">PHASE THREE: Board Decision  </w:t>
      </w:r>
    </w:p>
    <w:p w14:paraId="4AE5434F" w14:textId="77777777" w:rsidR="00E56B11" w:rsidRPr="00CF3EDF" w:rsidRDefault="00E56B11" w:rsidP="004358C3">
      <w:pPr>
        <w:rPr>
          <w:rFonts w:cs="Arial"/>
          <w:b/>
          <w:bCs/>
          <w:color w:val="000000"/>
          <w:szCs w:val="22"/>
        </w:rPr>
      </w:pPr>
    </w:p>
    <w:p w14:paraId="46673F40" w14:textId="59112E46" w:rsidR="00E56B11" w:rsidRPr="00CF3EDF" w:rsidRDefault="00601221" w:rsidP="00CF3EDF">
      <w:pPr>
        <w:pStyle w:val="ListParagraph"/>
        <w:numPr>
          <w:ilvl w:val="0"/>
          <w:numId w:val="7"/>
        </w:numPr>
        <w:rPr>
          <w:rFonts w:cs="Arial"/>
          <w:b/>
          <w:bCs/>
          <w:color w:val="000000"/>
          <w:szCs w:val="22"/>
        </w:rPr>
      </w:pPr>
      <w:r w:rsidRPr="00CF3EDF">
        <w:rPr>
          <w:rFonts w:cs="Arial"/>
          <w:b/>
          <w:bCs/>
          <w:color w:val="000000"/>
          <w:szCs w:val="22"/>
        </w:rPr>
        <w:t xml:space="preserve">The Board will review the appeal and ETF’s recommendation.  </w:t>
      </w:r>
    </w:p>
    <w:p w14:paraId="0047AEFF" w14:textId="77777777" w:rsidR="00CF3EDF" w:rsidRPr="00CF3EDF" w:rsidRDefault="00CF3EDF" w:rsidP="00CF3EDF">
      <w:pPr>
        <w:pStyle w:val="ListParagraph"/>
        <w:rPr>
          <w:rFonts w:cs="Arial"/>
          <w:b/>
          <w:bCs/>
          <w:color w:val="000000"/>
          <w:szCs w:val="22"/>
        </w:rPr>
      </w:pPr>
    </w:p>
    <w:p w14:paraId="39E6F35D" w14:textId="5A3382CD" w:rsidR="00E56B11" w:rsidRPr="00CF3EDF" w:rsidRDefault="00601221" w:rsidP="00CF3EDF">
      <w:pPr>
        <w:pStyle w:val="ListParagraph"/>
        <w:numPr>
          <w:ilvl w:val="0"/>
          <w:numId w:val="7"/>
        </w:numPr>
        <w:rPr>
          <w:rFonts w:cs="Arial"/>
          <w:b/>
          <w:bCs/>
          <w:color w:val="000000"/>
          <w:szCs w:val="22"/>
        </w:rPr>
      </w:pPr>
      <w:r w:rsidRPr="00CF3EDF">
        <w:rPr>
          <w:rFonts w:cs="Arial"/>
          <w:b/>
          <w:bCs/>
          <w:color w:val="000000"/>
          <w:szCs w:val="22"/>
        </w:rPr>
        <w:t xml:space="preserve">The Board will render a decision. For most appeals, the options available to the Board are rescind the original Intent to Award and direct staff to issue the award to a different bidder, rescind the original Intent to Award and direct staff to terminate the procurement, or deny the appeal and proceed with implementing the original decision.  </w:t>
      </w:r>
    </w:p>
    <w:p w14:paraId="04229375" w14:textId="77777777" w:rsidR="00CF3EDF" w:rsidRPr="00CF3EDF" w:rsidRDefault="00CF3EDF" w:rsidP="00CF3EDF">
      <w:pPr>
        <w:pStyle w:val="ListParagraph"/>
        <w:rPr>
          <w:rFonts w:cs="Arial"/>
          <w:b/>
          <w:bCs/>
          <w:color w:val="000000"/>
          <w:szCs w:val="22"/>
        </w:rPr>
      </w:pPr>
    </w:p>
    <w:p w14:paraId="468E3F2D" w14:textId="10E08863" w:rsidR="00E56B11" w:rsidRPr="00CF3EDF" w:rsidRDefault="00601221" w:rsidP="00CF3EDF">
      <w:pPr>
        <w:pStyle w:val="ListParagraph"/>
        <w:numPr>
          <w:ilvl w:val="0"/>
          <w:numId w:val="7"/>
        </w:numPr>
        <w:rPr>
          <w:rFonts w:cs="Arial"/>
          <w:b/>
          <w:bCs/>
          <w:color w:val="000000"/>
          <w:szCs w:val="22"/>
        </w:rPr>
      </w:pPr>
      <w:r w:rsidRPr="00CF3EDF">
        <w:rPr>
          <w:rFonts w:cs="Arial"/>
          <w:b/>
          <w:bCs/>
          <w:color w:val="000000"/>
          <w:szCs w:val="22"/>
        </w:rPr>
        <w:t xml:space="preserve">Following Board action, a written decision will be sent to the vendor. The vendor is allowed one appeal per procurement contract or process.  </w:t>
      </w:r>
    </w:p>
    <w:p w14:paraId="17D6D139" w14:textId="77777777" w:rsidR="00CF3EDF" w:rsidRPr="00CF3EDF" w:rsidRDefault="00CF3EDF" w:rsidP="00CF3EDF">
      <w:pPr>
        <w:pStyle w:val="ListParagraph"/>
        <w:rPr>
          <w:rFonts w:cs="Arial"/>
          <w:b/>
          <w:bCs/>
          <w:color w:val="000000"/>
          <w:szCs w:val="22"/>
        </w:rPr>
      </w:pPr>
    </w:p>
    <w:p w14:paraId="6C84F067" w14:textId="205DE2BA" w:rsidR="004358C3" w:rsidRPr="00CF3EDF" w:rsidRDefault="00601221" w:rsidP="00CF3EDF">
      <w:pPr>
        <w:pStyle w:val="ListParagraph"/>
        <w:numPr>
          <w:ilvl w:val="0"/>
          <w:numId w:val="7"/>
        </w:numPr>
        <w:rPr>
          <w:rFonts w:cs="Arial"/>
          <w:b/>
          <w:bCs/>
          <w:color w:val="000000"/>
          <w:szCs w:val="22"/>
        </w:rPr>
      </w:pPr>
      <w:r w:rsidRPr="00CF3EDF">
        <w:rPr>
          <w:rFonts w:cs="Arial"/>
          <w:b/>
          <w:bCs/>
          <w:color w:val="000000"/>
          <w:szCs w:val="22"/>
        </w:rPr>
        <w:t xml:space="preserve">For appeals of procurement awards made under Chapter 40, the Board’s decision is final.  </w:t>
      </w:r>
    </w:p>
    <w:p w14:paraId="5446DBE8" w14:textId="77777777" w:rsidR="00CF3EDF" w:rsidRPr="00CF3EDF" w:rsidRDefault="00CF3EDF" w:rsidP="00CF3EDF">
      <w:pPr>
        <w:pStyle w:val="ListParagraph"/>
        <w:rPr>
          <w:rFonts w:cs="Arial"/>
          <w:b/>
          <w:bCs/>
          <w:color w:val="000000"/>
          <w:szCs w:val="22"/>
        </w:rPr>
      </w:pPr>
    </w:p>
    <w:sectPr w:rsidR="00CF3EDF" w:rsidRPr="00CF3EDF" w:rsidSect="00D6718D">
      <w:pgSz w:w="15840" w:h="12240" w:orient="landscape" w:code="1"/>
      <w:pgMar w:top="1152" w:right="547" w:bottom="1152"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E832A" w14:textId="77777777" w:rsidR="009F3B57" w:rsidRDefault="009F3B57" w:rsidP="009F3B57">
      <w:r>
        <w:separator/>
      </w:r>
    </w:p>
  </w:endnote>
  <w:endnote w:type="continuationSeparator" w:id="0">
    <w:p w14:paraId="508DE1A3" w14:textId="77777777" w:rsidR="009F3B57" w:rsidRDefault="009F3B57" w:rsidP="009F3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1853" w14:textId="77777777" w:rsidR="009F3B57" w:rsidRDefault="009F3B57">
    <w:pPr>
      <w:pStyle w:val="Footer"/>
      <w:rPr>
        <w:sz w:val="18"/>
        <w:szCs w:val="18"/>
      </w:rPr>
    </w:pPr>
    <w:r>
      <w:rPr>
        <w:sz w:val="18"/>
        <w:szCs w:val="18"/>
      </w:rPr>
      <w:t xml:space="preserve">Wisconsin Department of Employee Trust Funds </w:t>
    </w:r>
    <w:r w:rsidRPr="009F3B57">
      <w:rPr>
        <w:sz w:val="18"/>
        <w:szCs w:val="18"/>
      </w:rPr>
      <w:t xml:space="preserve"> </w:t>
    </w:r>
  </w:p>
  <w:p w14:paraId="1CB661FA" w14:textId="64D48A95" w:rsidR="009F3B57" w:rsidRPr="009F3B57" w:rsidRDefault="009F3B57">
    <w:pPr>
      <w:pStyle w:val="Footer"/>
      <w:rPr>
        <w:sz w:val="18"/>
        <w:szCs w:val="18"/>
      </w:rPr>
    </w:pPr>
    <w:r>
      <w:rPr>
        <w:sz w:val="18"/>
        <w:szCs w:val="18"/>
      </w:rPr>
      <w:t>P</w:t>
    </w:r>
    <w:r w:rsidRPr="009F3B57">
      <w:rPr>
        <w:sz w:val="18"/>
        <w:szCs w:val="18"/>
      </w:rPr>
      <w:t xml:space="preserve">age </w:t>
    </w:r>
    <w:r w:rsidRPr="009F3B57">
      <w:rPr>
        <w:sz w:val="18"/>
        <w:szCs w:val="18"/>
      </w:rPr>
      <w:fldChar w:fldCharType="begin"/>
    </w:r>
    <w:r w:rsidRPr="009F3B57">
      <w:rPr>
        <w:sz w:val="18"/>
        <w:szCs w:val="18"/>
      </w:rPr>
      <w:instrText xml:space="preserve"> PAGE   \* MERGEFORMAT </w:instrText>
    </w:r>
    <w:r w:rsidRPr="009F3B57">
      <w:rPr>
        <w:sz w:val="18"/>
        <w:szCs w:val="18"/>
      </w:rPr>
      <w:fldChar w:fldCharType="separate"/>
    </w:r>
    <w:r w:rsidRPr="009F3B57">
      <w:rPr>
        <w:noProof/>
        <w:sz w:val="18"/>
        <w:szCs w:val="18"/>
      </w:rPr>
      <w:t>1</w:t>
    </w:r>
    <w:r w:rsidRPr="009F3B57">
      <w:rPr>
        <w:noProof/>
        <w:sz w:val="18"/>
        <w:szCs w:val="18"/>
      </w:rPr>
      <w:fldChar w:fldCharType="end"/>
    </w:r>
    <w:r w:rsidRPr="009F3B57">
      <w:rPr>
        <w:noProof/>
        <w:sz w:val="18"/>
        <w:szCs w:val="18"/>
      </w:rPr>
      <w:t xml:space="preserve"> of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7A35E" w14:textId="77777777" w:rsidR="009F3B57" w:rsidRDefault="009F3B57" w:rsidP="009F3B57">
      <w:r>
        <w:separator/>
      </w:r>
    </w:p>
  </w:footnote>
  <w:footnote w:type="continuationSeparator" w:id="0">
    <w:p w14:paraId="2F1AF5FE" w14:textId="77777777" w:rsidR="009F3B57" w:rsidRDefault="009F3B57" w:rsidP="009F3B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D5DEC"/>
    <w:multiLevelType w:val="hybridMultilevel"/>
    <w:tmpl w:val="E3945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C6B97"/>
    <w:multiLevelType w:val="hybridMultilevel"/>
    <w:tmpl w:val="1D546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95D93"/>
    <w:multiLevelType w:val="hybridMultilevel"/>
    <w:tmpl w:val="9F9217A0"/>
    <w:lvl w:ilvl="0" w:tplc="6E10E4DE">
      <w:start w:val="260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C6C4324"/>
    <w:multiLevelType w:val="hybridMultilevel"/>
    <w:tmpl w:val="00DEBFD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294255F"/>
    <w:multiLevelType w:val="hybridMultilevel"/>
    <w:tmpl w:val="E1C83B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41123F9"/>
    <w:multiLevelType w:val="hybridMultilevel"/>
    <w:tmpl w:val="63787D90"/>
    <w:lvl w:ilvl="0" w:tplc="169A59B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EE686B"/>
    <w:multiLevelType w:val="hybridMultilevel"/>
    <w:tmpl w:val="F6AE2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6251212">
    <w:abstractNumId w:val="1"/>
  </w:num>
  <w:num w:numId="2" w16cid:durableId="2082748587">
    <w:abstractNumId w:val="4"/>
  </w:num>
  <w:num w:numId="3" w16cid:durableId="804471231">
    <w:abstractNumId w:val="0"/>
  </w:num>
  <w:num w:numId="4" w16cid:durableId="1646085040">
    <w:abstractNumId w:val="3"/>
  </w:num>
  <w:num w:numId="5" w16cid:durableId="1277375057">
    <w:abstractNumId w:val="2"/>
  </w:num>
  <w:num w:numId="6" w16cid:durableId="480317629">
    <w:abstractNumId w:val="5"/>
  </w:num>
  <w:num w:numId="7" w16cid:durableId="12933621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423"/>
    <w:rsid w:val="00026172"/>
    <w:rsid w:val="00026ADF"/>
    <w:rsid w:val="00052428"/>
    <w:rsid w:val="000654F4"/>
    <w:rsid w:val="00086026"/>
    <w:rsid w:val="000A0349"/>
    <w:rsid w:val="000A7B17"/>
    <w:rsid w:val="000D3C65"/>
    <w:rsid w:val="000D53A2"/>
    <w:rsid w:val="000E00FF"/>
    <w:rsid w:val="000F39D6"/>
    <w:rsid w:val="001129D2"/>
    <w:rsid w:val="00115A85"/>
    <w:rsid w:val="00120122"/>
    <w:rsid w:val="00192BD2"/>
    <w:rsid w:val="001A0EAF"/>
    <w:rsid w:val="001F2A74"/>
    <w:rsid w:val="0020636C"/>
    <w:rsid w:val="0021219D"/>
    <w:rsid w:val="0021750D"/>
    <w:rsid w:val="0025533A"/>
    <w:rsid w:val="00261318"/>
    <w:rsid w:val="002673B7"/>
    <w:rsid w:val="002725E3"/>
    <w:rsid w:val="002753C4"/>
    <w:rsid w:val="002875A0"/>
    <w:rsid w:val="002B2BD9"/>
    <w:rsid w:val="002C775B"/>
    <w:rsid w:val="0030547F"/>
    <w:rsid w:val="003173F7"/>
    <w:rsid w:val="00330635"/>
    <w:rsid w:val="00333F99"/>
    <w:rsid w:val="00367198"/>
    <w:rsid w:val="0038046A"/>
    <w:rsid w:val="00380B80"/>
    <w:rsid w:val="00397494"/>
    <w:rsid w:val="003B0D4D"/>
    <w:rsid w:val="003C234C"/>
    <w:rsid w:val="003D08BE"/>
    <w:rsid w:val="00404DE2"/>
    <w:rsid w:val="0042654B"/>
    <w:rsid w:val="00426BAA"/>
    <w:rsid w:val="004358C3"/>
    <w:rsid w:val="004425EB"/>
    <w:rsid w:val="00443FB7"/>
    <w:rsid w:val="00444533"/>
    <w:rsid w:val="00465ADD"/>
    <w:rsid w:val="0046726C"/>
    <w:rsid w:val="00475A82"/>
    <w:rsid w:val="004970AF"/>
    <w:rsid w:val="004971B9"/>
    <w:rsid w:val="004A26C9"/>
    <w:rsid w:val="004A7A4A"/>
    <w:rsid w:val="004D71A2"/>
    <w:rsid w:val="004E32D9"/>
    <w:rsid w:val="005367DC"/>
    <w:rsid w:val="00543C37"/>
    <w:rsid w:val="00556511"/>
    <w:rsid w:val="00584E90"/>
    <w:rsid w:val="00587563"/>
    <w:rsid w:val="005901EF"/>
    <w:rsid w:val="005D4B58"/>
    <w:rsid w:val="005E4423"/>
    <w:rsid w:val="00601221"/>
    <w:rsid w:val="00604731"/>
    <w:rsid w:val="00607A7F"/>
    <w:rsid w:val="0063482F"/>
    <w:rsid w:val="0064002A"/>
    <w:rsid w:val="00642F15"/>
    <w:rsid w:val="00672A5B"/>
    <w:rsid w:val="00693262"/>
    <w:rsid w:val="006C0C6D"/>
    <w:rsid w:val="006C2512"/>
    <w:rsid w:val="006D65A7"/>
    <w:rsid w:val="006E6199"/>
    <w:rsid w:val="006F321E"/>
    <w:rsid w:val="007109AE"/>
    <w:rsid w:val="00730ED4"/>
    <w:rsid w:val="007344F8"/>
    <w:rsid w:val="00741567"/>
    <w:rsid w:val="0074413D"/>
    <w:rsid w:val="00761B64"/>
    <w:rsid w:val="007849E5"/>
    <w:rsid w:val="00787293"/>
    <w:rsid w:val="007943DE"/>
    <w:rsid w:val="00795C5D"/>
    <w:rsid w:val="007E0E99"/>
    <w:rsid w:val="007E3853"/>
    <w:rsid w:val="008024BF"/>
    <w:rsid w:val="00803138"/>
    <w:rsid w:val="00817708"/>
    <w:rsid w:val="00825B89"/>
    <w:rsid w:val="008306D2"/>
    <w:rsid w:val="0083502C"/>
    <w:rsid w:val="00842BCD"/>
    <w:rsid w:val="00842FCD"/>
    <w:rsid w:val="00862E84"/>
    <w:rsid w:val="00880C8F"/>
    <w:rsid w:val="008B3FF7"/>
    <w:rsid w:val="008B5F8A"/>
    <w:rsid w:val="008C0C82"/>
    <w:rsid w:val="008C48F9"/>
    <w:rsid w:val="008C6630"/>
    <w:rsid w:val="008F7ACA"/>
    <w:rsid w:val="00901965"/>
    <w:rsid w:val="00903A8F"/>
    <w:rsid w:val="0091635D"/>
    <w:rsid w:val="009324DC"/>
    <w:rsid w:val="00950984"/>
    <w:rsid w:val="00952363"/>
    <w:rsid w:val="00970559"/>
    <w:rsid w:val="009750FE"/>
    <w:rsid w:val="00987193"/>
    <w:rsid w:val="0098773D"/>
    <w:rsid w:val="00993B68"/>
    <w:rsid w:val="009A02F5"/>
    <w:rsid w:val="009C3BC2"/>
    <w:rsid w:val="009C46C6"/>
    <w:rsid w:val="009E43DD"/>
    <w:rsid w:val="009F3B57"/>
    <w:rsid w:val="00A26E8C"/>
    <w:rsid w:val="00A73012"/>
    <w:rsid w:val="00A8310D"/>
    <w:rsid w:val="00AB1411"/>
    <w:rsid w:val="00AB1765"/>
    <w:rsid w:val="00AD107A"/>
    <w:rsid w:val="00AD5EED"/>
    <w:rsid w:val="00AE0421"/>
    <w:rsid w:val="00AF1B95"/>
    <w:rsid w:val="00AF2C77"/>
    <w:rsid w:val="00AF35A9"/>
    <w:rsid w:val="00AF415F"/>
    <w:rsid w:val="00B0366D"/>
    <w:rsid w:val="00B07400"/>
    <w:rsid w:val="00B07C90"/>
    <w:rsid w:val="00B1147D"/>
    <w:rsid w:val="00B14A21"/>
    <w:rsid w:val="00B217DE"/>
    <w:rsid w:val="00B24B74"/>
    <w:rsid w:val="00B31A94"/>
    <w:rsid w:val="00B42919"/>
    <w:rsid w:val="00B619F2"/>
    <w:rsid w:val="00B64BB7"/>
    <w:rsid w:val="00B87592"/>
    <w:rsid w:val="00B97AB4"/>
    <w:rsid w:val="00BA5005"/>
    <w:rsid w:val="00BD089C"/>
    <w:rsid w:val="00BE6B5F"/>
    <w:rsid w:val="00BF560A"/>
    <w:rsid w:val="00C245AE"/>
    <w:rsid w:val="00C51DFC"/>
    <w:rsid w:val="00C53D02"/>
    <w:rsid w:val="00C57A99"/>
    <w:rsid w:val="00C65A79"/>
    <w:rsid w:val="00C70C20"/>
    <w:rsid w:val="00C74BE8"/>
    <w:rsid w:val="00C75E14"/>
    <w:rsid w:val="00C7624B"/>
    <w:rsid w:val="00C95020"/>
    <w:rsid w:val="00CA25DB"/>
    <w:rsid w:val="00CA5AD1"/>
    <w:rsid w:val="00CD7FED"/>
    <w:rsid w:val="00CE7D1B"/>
    <w:rsid w:val="00CF3EDF"/>
    <w:rsid w:val="00D17554"/>
    <w:rsid w:val="00D31417"/>
    <w:rsid w:val="00D53A2E"/>
    <w:rsid w:val="00D61AF3"/>
    <w:rsid w:val="00D6718D"/>
    <w:rsid w:val="00D815B6"/>
    <w:rsid w:val="00D91942"/>
    <w:rsid w:val="00DA42FE"/>
    <w:rsid w:val="00DC40B6"/>
    <w:rsid w:val="00DC4EE8"/>
    <w:rsid w:val="00DC5DC2"/>
    <w:rsid w:val="00DF2A0B"/>
    <w:rsid w:val="00E04DCF"/>
    <w:rsid w:val="00E207D9"/>
    <w:rsid w:val="00E4040B"/>
    <w:rsid w:val="00E56B11"/>
    <w:rsid w:val="00E71B6C"/>
    <w:rsid w:val="00EB4D32"/>
    <w:rsid w:val="00EB6FB3"/>
    <w:rsid w:val="00EE1A78"/>
    <w:rsid w:val="00EE31A2"/>
    <w:rsid w:val="00EF171A"/>
    <w:rsid w:val="00EF5D85"/>
    <w:rsid w:val="00F12579"/>
    <w:rsid w:val="00F1700F"/>
    <w:rsid w:val="00F172E7"/>
    <w:rsid w:val="00F92C8A"/>
    <w:rsid w:val="00FA2070"/>
    <w:rsid w:val="00FB4373"/>
    <w:rsid w:val="00FB699B"/>
    <w:rsid w:val="00FE7034"/>
    <w:rsid w:val="00FF3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A8F6FE"/>
  <w15:docId w15:val="{58A645AE-D65B-4109-8D82-57B2644ED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005"/>
    <w:rPr>
      <w:rFonts w:ascii="Arial" w:hAnsi="Arial"/>
      <w:sz w:val="22"/>
    </w:rPr>
  </w:style>
  <w:style w:type="paragraph" w:styleId="Heading1">
    <w:name w:val="heading 1"/>
    <w:basedOn w:val="Normal"/>
    <w:next w:val="Normal"/>
    <w:qFormat/>
    <w:rsid w:val="00BA5005"/>
    <w:pPr>
      <w:keepNext/>
      <w:jc w:val="center"/>
      <w:outlineLvl w:val="0"/>
    </w:pPr>
    <w:rPr>
      <w:rFonts w:ascii="Times New Roman" w:hAnsi="Times New Roman"/>
      <w:b/>
      <w:i/>
      <w:sz w:val="24"/>
    </w:rPr>
  </w:style>
  <w:style w:type="paragraph" w:styleId="Heading2">
    <w:name w:val="heading 2"/>
    <w:basedOn w:val="Normal"/>
    <w:next w:val="Normal"/>
    <w:qFormat/>
    <w:rsid w:val="00BA5005"/>
    <w:pPr>
      <w:keepNext/>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A5005"/>
    <w:pPr>
      <w:jc w:val="center"/>
    </w:pPr>
    <w:rPr>
      <w:rFonts w:ascii="Times New Roman" w:hAnsi="Times New Roman"/>
      <w:sz w:val="36"/>
    </w:rPr>
  </w:style>
  <w:style w:type="character" w:styleId="Hyperlink">
    <w:name w:val="Hyperlink"/>
    <w:basedOn w:val="DefaultParagraphFont"/>
    <w:uiPriority w:val="99"/>
    <w:unhideWhenUsed/>
    <w:rsid w:val="00330635"/>
    <w:rPr>
      <w:color w:val="0000FF"/>
      <w:u w:val="single"/>
    </w:rPr>
  </w:style>
  <w:style w:type="paragraph" w:styleId="NormalWeb">
    <w:name w:val="Normal (Web)"/>
    <w:basedOn w:val="Normal"/>
    <w:uiPriority w:val="99"/>
    <w:unhideWhenUsed/>
    <w:rsid w:val="00330635"/>
    <w:pPr>
      <w:spacing w:before="100" w:beforeAutospacing="1" w:after="100" w:afterAutospacing="1"/>
    </w:pPr>
    <w:rPr>
      <w:rFonts w:ascii="Times New Roman" w:eastAsiaTheme="minorHAnsi" w:hAnsi="Times New Roman"/>
      <w:sz w:val="24"/>
      <w:szCs w:val="24"/>
    </w:rPr>
  </w:style>
  <w:style w:type="paragraph" w:customStyle="1" w:styleId="Default">
    <w:name w:val="Default"/>
    <w:rsid w:val="00330635"/>
    <w:pPr>
      <w:autoSpaceDE w:val="0"/>
      <w:autoSpaceDN w:val="0"/>
      <w:adjustRightInd w:val="0"/>
    </w:pPr>
    <w:rPr>
      <w:rFonts w:ascii="Arial" w:hAnsi="Arial" w:cs="Arial"/>
      <w:b/>
      <w:color w:val="000000"/>
      <w:sz w:val="24"/>
      <w:szCs w:val="24"/>
    </w:rPr>
  </w:style>
  <w:style w:type="character" w:styleId="FollowedHyperlink">
    <w:name w:val="FollowedHyperlink"/>
    <w:basedOn w:val="DefaultParagraphFont"/>
    <w:uiPriority w:val="99"/>
    <w:semiHidden/>
    <w:unhideWhenUsed/>
    <w:rsid w:val="00330635"/>
    <w:rPr>
      <w:color w:val="800080" w:themeColor="followedHyperlink"/>
      <w:u w:val="single"/>
    </w:rPr>
  </w:style>
  <w:style w:type="table" w:customStyle="1" w:styleId="LRWLTableStyle1">
    <w:name w:val="LRWL Table Style1"/>
    <w:basedOn w:val="TableNormal"/>
    <w:rsid w:val="00F172E7"/>
    <w:pPr>
      <w:spacing w:before="60" w:after="60"/>
      <w:jc w:val="center"/>
    </w:pPr>
    <w:rPr>
      <w:rFonts w:ascii="Arial" w:hAnsi="Arial"/>
      <w:sz w:val="21"/>
    </w:rPr>
    <w:tblPr>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rPr>
      <w:cantSplit/>
      <w:jc w:val="center"/>
    </w:trPr>
    <w:tcPr>
      <w:shd w:val="clear" w:color="auto" w:fill="EDD2CB"/>
      <w:vAlign w:val="center"/>
    </w:tcPr>
    <w:tblStylePr w:type="firstRow">
      <w:pPr>
        <w:keepNext/>
        <w:wordWrap/>
        <w:spacing w:beforeLines="0" w:beforeAutospacing="0" w:afterLines="0" w:afterAutospacing="0" w:line="240" w:lineRule="auto"/>
        <w:ind w:leftChars="0" w:left="0" w:rightChars="0" w:right="0" w:firstLineChars="0" w:firstLine="0"/>
        <w:jc w:val="center"/>
      </w:pPr>
      <w:rPr>
        <w:rFonts w:ascii="CG Times" w:hAnsi="CG Times"/>
        <w:b/>
        <w:i w:val="0"/>
        <w:caps w:val="0"/>
        <w:smallCaps/>
        <w:strike w:val="0"/>
        <w:dstrike w:val="0"/>
        <w:vanish w:val="0"/>
        <w:color w:val="auto"/>
        <w:sz w:val="21"/>
        <w:vertAlign w:val="baseline"/>
      </w:rPr>
      <w:tblPr/>
      <w:trPr>
        <w:tblHeader/>
      </w:trPr>
      <w:tcPr>
        <w:shd w:val="clear" w:color="auto" w:fill="800000"/>
      </w:tcPr>
    </w:tblStylePr>
    <w:tblStylePr w:type="lastRow">
      <w:rPr>
        <w:b/>
      </w:rPr>
      <w:tblPr/>
      <w:tcPr>
        <w:tcBorders>
          <w:top w:val="nil"/>
        </w:tcBorders>
        <w:shd w:val="clear" w:color="auto" w:fill="EDD2CB"/>
      </w:tcPr>
    </w:tblStylePr>
    <w:tblStylePr w:type="lastCol">
      <w:tblPr/>
      <w:tcPr>
        <w:shd w:val="clear" w:color="auto" w:fill="FFE1AF"/>
      </w:tcPr>
    </w:tblStylePr>
  </w:style>
  <w:style w:type="paragraph" w:styleId="BalloonText">
    <w:name w:val="Balloon Text"/>
    <w:basedOn w:val="Normal"/>
    <w:link w:val="BalloonTextChar"/>
    <w:uiPriority w:val="99"/>
    <w:semiHidden/>
    <w:unhideWhenUsed/>
    <w:rsid w:val="006400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002A"/>
    <w:rPr>
      <w:rFonts w:ascii="Segoe UI" w:hAnsi="Segoe UI" w:cs="Segoe UI"/>
      <w:sz w:val="18"/>
      <w:szCs w:val="18"/>
    </w:rPr>
  </w:style>
  <w:style w:type="paragraph" w:styleId="ListParagraph">
    <w:name w:val="List Paragraph"/>
    <w:basedOn w:val="Normal"/>
    <w:uiPriority w:val="1"/>
    <w:qFormat/>
    <w:rsid w:val="00EE31A2"/>
    <w:pPr>
      <w:ind w:left="720"/>
      <w:contextualSpacing/>
    </w:pPr>
  </w:style>
  <w:style w:type="character" w:styleId="UnresolvedMention">
    <w:name w:val="Unresolved Mention"/>
    <w:basedOn w:val="DefaultParagraphFont"/>
    <w:uiPriority w:val="99"/>
    <w:semiHidden/>
    <w:unhideWhenUsed/>
    <w:rsid w:val="0025533A"/>
    <w:rPr>
      <w:color w:val="808080"/>
      <w:shd w:val="clear" w:color="auto" w:fill="E6E6E6"/>
    </w:rPr>
  </w:style>
  <w:style w:type="character" w:styleId="CommentReference">
    <w:name w:val="annotation reference"/>
    <w:basedOn w:val="DefaultParagraphFont"/>
    <w:uiPriority w:val="99"/>
    <w:semiHidden/>
    <w:unhideWhenUsed/>
    <w:rsid w:val="004971B9"/>
    <w:rPr>
      <w:sz w:val="16"/>
      <w:szCs w:val="16"/>
    </w:rPr>
  </w:style>
  <w:style w:type="paragraph" w:styleId="CommentText">
    <w:name w:val="annotation text"/>
    <w:basedOn w:val="Normal"/>
    <w:link w:val="CommentTextChar"/>
    <w:uiPriority w:val="99"/>
    <w:unhideWhenUsed/>
    <w:rsid w:val="004971B9"/>
    <w:rPr>
      <w:sz w:val="20"/>
    </w:rPr>
  </w:style>
  <w:style w:type="character" w:customStyle="1" w:styleId="CommentTextChar">
    <w:name w:val="Comment Text Char"/>
    <w:basedOn w:val="DefaultParagraphFont"/>
    <w:link w:val="CommentText"/>
    <w:uiPriority w:val="99"/>
    <w:rsid w:val="004971B9"/>
    <w:rPr>
      <w:rFonts w:ascii="Arial" w:hAnsi="Arial"/>
    </w:rPr>
  </w:style>
  <w:style w:type="paragraph" w:styleId="CommentSubject">
    <w:name w:val="annotation subject"/>
    <w:basedOn w:val="CommentText"/>
    <w:next w:val="CommentText"/>
    <w:link w:val="CommentSubjectChar"/>
    <w:uiPriority w:val="99"/>
    <w:semiHidden/>
    <w:unhideWhenUsed/>
    <w:rsid w:val="004971B9"/>
    <w:rPr>
      <w:b/>
      <w:bCs/>
    </w:rPr>
  </w:style>
  <w:style w:type="character" w:customStyle="1" w:styleId="CommentSubjectChar">
    <w:name w:val="Comment Subject Char"/>
    <w:basedOn w:val="CommentTextChar"/>
    <w:link w:val="CommentSubject"/>
    <w:uiPriority w:val="99"/>
    <w:semiHidden/>
    <w:rsid w:val="004971B9"/>
    <w:rPr>
      <w:rFonts w:ascii="Arial" w:hAnsi="Arial"/>
      <w:b/>
      <w:bCs/>
    </w:rPr>
  </w:style>
  <w:style w:type="paragraph" w:styleId="Header">
    <w:name w:val="header"/>
    <w:basedOn w:val="Normal"/>
    <w:link w:val="HeaderChar"/>
    <w:uiPriority w:val="99"/>
    <w:unhideWhenUsed/>
    <w:rsid w:val="009F3B57"/>
    <w:pPr>
      <w:tabs>
        <w:tab w:val="center" w:pos="4680"/>
        <w:tab w:val="right" w:pos="9360"/>
      </w:tabs>
    </w:pPr>
  </w:style>
  <w:style w:type="character" w:customStyle="1" w:styleId="HeaderChar">
    <w:name w:val="Header Char"/>
    <w:basedOn w:val="DefaultParagraphFont"/>
    <w:link w:val="Header"/>
    <w:uiPriority w:val="99"/>
    <w:rsid w:val="009F3B57"/>
    <w:rPr>
      <w:rFonts w:ascii="Arial" w:hAnsi="Arial"/>
      <w:sz w:val="22"/>
    </w:rPr>
  </w:style>
  <w:style w:type="paragraph" w:styleId="Footer">
    <w:name w:val="footer"/>
    <w:basedOn w:val="Normal"/>
    <w:link w:val="FooterChar"/>
    <w:uiPriority w:val="99"/>
    <w:unhideWhenUsed/>
    <w:rsid w:val="009F3B57"/>
    <w:pPr>
      <w:tabs>
        <w:tab w:val="center" w:pos="4680"/>
        <w:tab w:val="right" w:pos="9360"/>
      </w:tabs>
    </w:pPr>
  </w:style>
  <w:style w:type="character" w:customStyle="1" w:styleId="FooterChar">
    <w:name w:val="Footer Char"/>
    <w:basedOn w:val="DefaultParagraphFont"/>
    <w:link w:val="Footer"/>
    <w:uiPriority w:val="99"/>
    <w:rsid w:val="009F3B57"/>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15275">
      <w:bodyDiv w:val="1"/>
      <w:marLeft w:val="0"/>
      <w:marRight w:val="0"/>
      <w:marTop w:val="0"/>
      <w:marBottom w:val="0"/>
      <w:divBdr>
        <w:top w:val="none" w:sz="0" w:space="0" w:color="auto"/>
        <w:left w:val="none" w:sz="0" w:space="0" w:color="auto"/>
        <w:bottom w:val="none" w:sz="0" w:space="0" w:color="auto"/>
        <w:right w:val="none" w:sz="0" w:space="0" w:color="auto"/>
      </w:divBdr>
    </w:div>
    <w:div w:id="365446558">
      <w:bodyDiv w:val="1"/>
      <w:marLeft w:val="0"/>
      <w:marRight w:val="0"/>
      <w:marTop w:val="0"/>
      <w:marBottom w:val="0"/>
      <w:divBdr>
        <w:top w:val="none" w:sz="0" w:space="0" w:color="auto"/>
        <w:left w:val="none" w:sz="0" w:space="0" w:color="auto"/>
        <w:bottom w:val="none" w:sz="0" w:space="0" w:color="auto"/>
        <w:right w:val="none" w:sz="0" w:space="0" w:color="auto"/>
      </w:divBdr>
    </w:div>
    <w:div w:id="470636687">
      <w:bodyDiv w:val="1"/>
      <w:marLeft w:val="0"/>
      <w:marRight w:val="0"/>
      <w:marTop w:val="0"/>
      <w:marBottom w:val="0"/>
      <w:divBdr>
        <w:top w:val="none" w:sz="0" w:space="0" w:color="auto"/>
        <w:left w:val="none" w:sz="0" w:space="0" w:color="auto"/>
        <w:bottom w:val="none" w:sz="0" w:space="0" w:color="auto"/>
        <w:right w:val="none" w:sz="0" w:space="0" w:color="auto"/>
      </w:divBdr>
    </w:div>
    <w:div w:id="493685078">
      <w:bodyDiv w:val="1"/>
      <w:marLeft w:val="0"/>
      <w:marRight w:val="0"/>
      <w:marTop w:val="0"/>
      <w:marBottom w:val="0"/>
      <w:divBdr>
        <w:top w:val="none" w:sz="0" w:space="0" w:color="auto"/>
        <w:left w:val="none" w:sz="0" w:space="0" w:color="auto"/>
        <w:bottom w:val="none" w:sz="0" w:space="0" w:color="auto"/>
        <w:right w:val="none" w:sz="0" w:space="0" w:color="auto"/>
      </w:divBdr>
    </w:div>
    <w:div w:id="1106928856">
      <w:bodyDiv w:val="1"/>
      <w:marLeft w:val="0"/>
      <w:marRight w:val="0"/>
      <w:marTop w:val="0"/>
      <w:marBottom w:val="0"/>
      <w:divBdr>
        <w:top w:val="none" w:sz="0" w:space="0" w:color="auto"/>
        <w:left w:val="none" w:sz="0" w:space="0" w:color="auto"/>
        <w:bottom w:val="none" w:sz="0" w:space="0" w:color="auto"/>
        <w:right w:val="none" w:sz="0" w:space="0" w:color="auto"/>
      </w:divBdr>
    </w:div>
    <w:div w:id="154497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hodgson@lineasolutions.com" TargetMode="External"/><Relationship Id="rId13" Type="http://schemas.openxmlformats.org/officeDocument/2006/relationships/hyperlink" Target="mailto:ETFSMBProcurement@etf.wi.go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TFSMBProcurement@etf.wi.go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tagawa@lineasolutions.com" TargetMode="External"/><Relationship Id="rId4" Type="http://schemas.openxmlformats.org/officeDocument/2006/relationships/webSettings" Target="webSettings.xml"/><Relationship Id="rId9" Type="http://schemas.openxmlformats.org/officeDocument/2006/relationships/hyperlink" Target="mailto:pdewar@lineasolutio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5</Pages>
  <Words>995</Words>
  <Characters>5684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ETF</Company>
  <LinksUpToDate>false</LinksUpToDate>
  <CharactersWithSpaces>6666</CharactersWithSpaces>
  <SharedDoc>false</SharedDoc>
  <HLinks>
    <vt:vector size="6" baseType="variant">
      <vt:variant>
        <vt:i4>3866624</vt:i4>
      </vt:variant>
      <vt:variant>
        <vt:i4>-1</vt:i4>
      </vt:variant>
      <vt:variant>
        <vt:i4>1026</vt:i4>
      </vt:variant>
      <vt:variant>
        <vt:i4>1</vt:i4>
      </vt:variant>
      <vt:variant>
        <vt:lpwstr>\\Etf_dept\vol1\USERS\ADM_DIV\BERGEME\INTERNET\LOGOS\ETF\BLACK_WHITE\JPG\ETF_logo_large.jpg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Beth.Bucaida@etf.wi.gov</dc:creator>
  <cp:keywords/>
  <cp:lastModifiedBy>Bucaida, Beth - ETF</cp:lastModifiedBy>
  <cp:revision>9</cp:revision>
  <cp:lastPrinted>2019-08-23T17:38:00Z</cp:lastPrinted>
  <dcterms:created xsi:type="dcterms:W3CDTF">2024-10-08T19:50:00Z</dcterms:created>
  <dcterms:modified xsi:type="dcterms:W3CDTF">2024-10-09T17:23:00Z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ID-FILE">
    <vt:lpwstr>01D6-3E7E-346C-8F25</vt:lpwstr>
  </property>
</Properties>
</file>